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86" w:rsidRDefault="009E6686" w:rsidP="009E6686">
      <w:pPr>
        <w:tabs>
          <w:tab w:val="left" w:pos="1418"/>
        </w:tabs>
        <w:jc w:val="center"/>
        <w:rPr>
          <w:b/>
          <w:sz w:val="24"/>
        </w:rPr>
      </w:pPr>
      <w:r w:rsidRPr="009B02E4">
        <w:rPr>
          <w:b/>
          <w:sz w:val="24"/>
        </w:rPr>
        <w:t>ANALISIS KINERJA KEUAN</w:t>
      </w:r>
      <w:r>
        <w:rPr>
          <w:b/>
          <w:sz w:val="24"/>
        </w:rPr>
        <w:t>GAN DITINJAU DARI DEBT TO ASSET</w:t>
      </w:r>
    </w:p>
    <w:p w:rsidR="009E6686" w:rsidRDefault="009E6686" w:rsidP="009E6686">
      <w:pPr>
        <w:tabs>
          <w:tab w:val="left" w:pos="1418"/>
        </w:tabs>
        <w:jc w:val="center"/>
        <w:rPr>
          <w:b/>
          <w:sz w:val="24"/>
        </w:rPr>
      </w:pPr>
      <w:r>
        <w:rPr>
          <w:b/>
          <w:sz w:val="24"/>
        </w:rPr>
        <w:t>RATIO</w:t>
      </w:r>
      <w:r w:rsidRPr="009B02E4">
        <w:rPr>
          <w:b/>
          <w:sz w:val="24"/>
        </w:rPr>
        <w:t>,</w:t>
      </w:r>
      <w:r>
        <w:rPr>
          <w:b/>
          <w:sz w:val="24"/>
        </w:rPr>
        <w:t xml:space="preserve"> DEBT TO EQUITY RATIO</w:t>
      </w:r>
      <w:proofErr w:type="gramStart"/>
      <w:r>
        <w:rPr>
          <w:b/>
          <w:sz w:val="24"/>
        </w:rPr>
        <w:t>,  LONG</w:t>
      </w:r>
      <w:proofErr w:type="gramEnd"/>
      <w:r>
        <w:rPr>
          <w:b/>
          <w:sz w:val="24"/>
        </w:rPr>
        <w:t xml:space="preserve"> TERM DEBT TO</w:t>
      </w:r>
    </w:p>
    <w:p w:rsidR="009E6686" w:rsidRDefault="009E6686" w:rsidP="009E6686">
      <w:pPr>
        <w:tabs>
          <w:tab w:val="left" w:pos="1418"/>
        </w:tabs>
        <w:jc w:val="center"/>
        <w:rPr>
          <w:b/>
          <w:sz w:val="24"/>
        </w:rPr>
      </w:pPr>
      <w:r>
        <w:rPr>
          <w:b/>
          <w:sz w:val="24"/>
        </w:rPr>
        <w:t xml:space="preserve"> EQUITY RATIO</w:t>
      </w:r>
      <w:proofErr w:type="gramStart"/>
      <w:r>
        <w:rPr>
          <w:b/>
          <w:sz w:val="24"/>
        </w:rPr>
        <w:t>,  RETURN</w:t>
      </w:r>
      <w:proofErr w:type="gramEnd"/>
      <w:r>
        <w:rPr>
          <w:b/>
          <w:sz w:val="24"/>
        </w:rPr>
        <w:t xml:space="preserve"> ON ASSET,  RETURN ON </w:t>
      </w:r>
    </w:p>
    <w:p w:rsidR="009E6686" w:rsidRDefault="009E6686" w:rsidP="009E6686">
      <w:pPr>
        <w:tabs>
          <w:tab w:val="left" w:pos="1418"/>
        </w:tabs>
        <w:jc w:val="center"/>
        <w:rPr>
          <w:b/>
          <w:sz w:val="24"/>
        </w:rPr>
      </w:pPr>
      <w:r>
        <w:rPr>
          <w:b/>
          <w:sz w:val="24"/>
        </w:rPr>
        <w:t xml:space="preserve">EQUITY DI BENGKEL (LINGGAU </w:t>
      </w:r>
      <w:r w:rsidRPr="009B02E4">
        <w:rPr>
          <w:b/>
          <w:sz w:val="24"/>
        </w:rPr>
        <w:t>ADVERTISING</w:t>
      </w:r>
      <w:r>
        <w:rPr>
          <w:b/>
          <w:sz w:val="24"/>
        </w:rPr>
        <w:t>)</w:t>
      </w:r>
    </w:p>
    <w:p w:rsidR="009E6686" w:rsidRDefault="009E6686" w:rsidP="009E6686">
      <w:pPr>
        <w:tabs>
          <w:tab w:val="left" w:pos="1418"/>
        </w:tabs>
        <w:jc w:val="center"/>
        <w:rPr>
          <w:b/>
          <w:sz w:val="24"/>
        </w:rPr>
      </w:pPr>
      <w:r>
        <w:rPr>
          <w:b/>
          <w:sz w:val="24"/>
        </w:rPr>
        <w:t xml:space="preserve"> KOTA LUBUKLINGGAU</w:t>
      </w:r>
    </w:p>
    <w:p w:rsidR="007D1230" w:rsidRPr="0090572C" w:rsidRDefault="007D1230" w:rsidP="00E87FEE">
      <w:pPr>
        <w:rPr>
          <w:b/>
          <w:bCs/>
          <w:sz w:val="22"/>
          <w:szCs w:val="22"/>
          <w:lang w:val="id-ID"/>
        </w:rPr>
      </w:pPr>
    </w:p>
    <w:p w:rsidR="00E87FEE" w:rsidRPr="00E87FEE" w:rsidRDefault="009E6686" w:rsidP="00E87FEE">
      <w:pPr>
        <w:jc w:val="center"/>
        <w:rPr>
          <w:b/>
          <w:bCs/>
          <w:vertAlign w:val="superscript"/>
        </w:rPr>
      </w:pPr>
      <w:r>
        <w:rPr>
          <w:b/>
          <w:bCs/>
          <w:lang w:val="id-ID"/>
        </w:rPr>
        <w:t>M Yoggi Erisaldi</w:t>
      </w:r>
      <w:r w:rsidR="00E87FEE" w:rsidRPr="00E87FEE">
        <w:rPr>
          <w:b/>
          <w:bCs/>
          <w:vertAlign w:val="superscript"/>
        </w:rPr>
        <w:t>1</w:t>
      </w:r>
      <w:r w:rsidR="00E87FEE" w:rsidRPr="00E87FEE">
        <w:rPr>
          <w:b/>
          <w:bCs/>
        </w:rPr>
        <w:t>,</w:t>
      </w:r>
      <w:r w:rsidR="0090572C">
        <w:rPr>
          <w:b/>
          <w:bCs/>
        </w:rPr>
        <w:t xml:space="preserve"> </w:t>
      </w:r>
      <w:r>
        <w:rPr>
          <w:b/>
          <w:bCs/>
          <w:lang w:val="id-ID"/>
        </w:rPr>
        <w:t>Muhammad Yusuf</w:t>
      </w:r>
      <w:r w:rsidR="00E87FEE" w:rsidRPr="00E87FEE">
        <w:rPr>
          <w:b/>
          <w:bCs/>
          <w:vertAlign w:val="superscript"/>
        </w:rPr>
        <w:t>2</w:t>
      </w:r>
      <w:r w:rsidR="0090572C">
        <w:rPr>
          <w:b/>
          <w:bCs/>
        </w:rPr>
        <w:t xml:space="preserve">, </w:t>
      </w:r>
      <w:r>
        <w:rPr>
          <w:b/>
          <w:bCs/>
          <w:lang w:val="id-ID"/>
        </w:rPr>
        <w:t>Azhar</w:t>
      </w:r>
      <w:r w:rsidR="00E87FEE" w:rsidRPr="00E87FEE">
        <w:rPr>
          <w:b/>
          <w:bCs/>
          <w:vertAlign w:val="superscript"/>
        </w:rPr>
        <w:t>3</w:t>
      </w:r>
    </w:p>
    <w:p w:rsidR="00E87FEE" w:rsidRPr="00E87FEE" w:rsidRDefault="00E87FEE" w:rsidP="00E87FEE">
      <w:pPr>
        <w:jc w:val="center"/>
      </w:pPr>
      <w:r w:rsidRPr="00E87FEE">
        <w:rPr>
          <w:vertAlign w:val="superscript"/>
        </w:rPr>
        <w:t>1</w:t>
      </w:r>
      <w:proofErr w:type="gramStart"/>
      <w:r w:rsidR="0090572C">
        <w:rPr>
          <w:vertAlign w:val="superscript"/>
          <w:lang w:val="id-ID"/>
        </w:rPr>
        <w:t>,2,3</w:t>
      </w:r>
      <w:r w:rsidRPr="00E87FEE">
        <w:t>Program</w:t>
      </w:r>
      <w:proofErr w:type="gramEnd"/>
      <w:r w:rsidRPr="00E87FEE">
        <w:t xml:space="preserve"> Studi, Universitas Bina Insan, LubukLinggau, Indonesia</w:t>
      </w:r>
    </w:p>
    <w:p w:rsidR="00E87FEE" w:rsidRPr="00493466" w:rsidRDefault="00E87FEE" w:rsidP="00493466">
      <w:pPr>
        <w:tabs>
          <w:tab w:val="center" w:pos="4960"/>
          <w:tab w:val="left" w:pos="8052"/>
        </w:tabs>
        <w:jc w:val="center"/>
        <w:rPr>
          <w:lang w:val="id-ID"/>
        </w:rPr>
      </w:pPr>
      <w:r w:rsidRPr="00E87FEE">
        <w:rPr>
          <w:b/>
        </w:rPr>
        <w:t>Email:</w:t>
      </w:r>
      <w:r w:rsidRPr="00E87FEE">
        <w:t xml:space="preserve"> </w:t>
      </w:r>
      <w:hyperlink r:id="rId9" w:history="1">
        <w:r w:rsidR="009E6686" w:rsidRPr="00D6360F">
          <w:rPr>
            <w:rStyle w:val="Hyperlink"/>
            <w:vertAlign w:val="superscript"/>
          </w:rPr>
          <w:t>1</w:t>
        </w:r>
        <w:r w:rsidR="009E6686" w:rsidRPr="00D6360F">
          <w:rPr>
            <w:rStyle w:val="Hyperlink"/>
            <w:lang w:val="id-ID"/>
          </w:rPr>
          <w:t>erisaldiyogi@gmail.com</w:t>
        </w:r>
      </w:hyperlink>
      <w:r w:rsidR="00493466">
        <w:rPr>
          <w:lang w:val="id-ID"/>
        </w:rPr>
        <w:t xml:space="preserve">, </w:t>
      </w:r>
      <w:hyperlink r:id="rId10" w:history="1">
        <w:r w:rsidR="009E6686" w:rsidRPr="00D6360F">
          <w:rPr>
            <w:rStyle w:val="Hyperlink"/>
            <w:vertAlign w:val="superscript"/>
            <w:lang w:val="id-ID"/>
          </w:rPr>
          <w:t>2</w:t>
        </w:r>
        <w:r w:rsidR="009E6686" w:rsidRPr="00D6360F">
          <w:rPr>
            <w:rStyle w:val="Hyperlink"/>
            <w:lang w:val="id-ID"/>
          </w:rPr>
          <w:t>m.yusuf@polsri.ac.id</w:t>
        </w:r>
      </w:hyperlink>
      <w:r w:rsidR="00493466">
        <w:rPr>
          <w:lang w:val="id-ID"/>
        </w:rPr>
        <w:t xml:space="preserve">, </w:t>
      </w:r>
      <w:hyperlink r:id="rId11" w:history="1">
        <w:r w:rsidR="009E6686" w:rsidRPr="00D6360F">
          <w:rPr>
            <w:rStyle w:val="Hyperlink"/>
            <w:vertAlign w:val="superscript"/>
            <w:lang w:val="id-ID"/>
          </w:rPr>
          <w:t>3</w:t>
        </w:r>
        <w:r w:rsidR="009E6686" w:rsidRPr="00D6360F">
          <w:rPr>
            <w:rStyle w:val="Hyperlink"/>
            <w:lang w:val="id-ID"/>
          </w:rPr>
          <w:t>azhar@univbinainsan.ac.id</w:t>
        </w:r>
      </w:hyperlink>
      <w:r w:rsidR="00493466">
        <w:rPr>
          <w:lang w:val="id-ID"/>
        </w:rPr>
        <w:t xml:space="preserve"> </w:t>
      </w:r>
    </w:p>
    <w:p w:rsidR="007D1230" w:rsidRPr="00E87FEE" w:rsidRDefault="009E6686" w:rsidP="009E6686">
      <w:pPr>
        <w:tabs>
          <w:tab w:val="left" w:pos="5085"/>
        </w:tabs>
        <w:rPr>
          <w:color w:val="C00000"/>
        </w:rPr>
      </w:pPr>
      <w:r>
        <w:rPr>
          <w:color w:val="C00000"/>
        </w:rPr>
        <w:tab/>
      </w: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90572C" w:rsidRPr="00D419EF" w:rsidRDefault="00202A4F" w:rsidP="00202A4F">
      <w:pPr>
        <w:spacing w:line="276" w:lineRule="auto"/>
        <w:jc w:val="both"/>
        <w:rPr>
          <w:sz w:val="24"/>
          <w:szCs w:val="24"/>
          <w:lang w:val="id-ID"/>
        </w:rPr>
      </w:pPr>
      <w:r w:rsidRPr="00202A4F">
        <w:rPr>
          <w:sz w:val="22"/>
          <w:lang w:val="id-ID"/>
        </w:rPr>
        <w:t xml:space="preserve">Persoalan di penelitian ini mengenai </w:t>
      </w:r>
      <w:r w:rsidR="009E6686">
        <w:rPr>
          <w:sz w:val="22"/>
          <w:lang w:val="id-ID"/>
        </w:rPr>
        <w:t>kinerja keuangan ditinjau dari DAR, DER, LTDtER, ROA dan ROE</w:t>
      </w:r>
      <w:r w:rsidRPr="00202A4F">
        <w:rPr>
          <w:sz w:val="22"/>
          <w:lang w:val="id-ID"/>
        </w:rPr>
        <w:t xml:space="preserve">. Tujuan penelitian ini buat mengetahui </w:t>
      </w:r>
      <w:r w:rsidR="009E6686" w:rsidRPr="00821457">
        <w:rPr>
          <w:sz w:val="24"/>
          <w:szCs w:val="24"/>
        </w:rPr>
        <w:t>laporan keuangan di Bengkel LA (Linggau Advertising) Kota Lubukinggau</w:t>
      </w:r>
      <w:r w:rsidR="009E6686">
        <w:rPr>
          <w:sz w:val="24"/>
          <w:szCs w:val="24"/>
          <w:lang w:val="id-ID"/>
        </w:rPr>
        <w:t xml:space="preserve"> ditinjau dari rasio solvabilitas</w:t>
      </w:r>
      <w:r w:rsidR="006B0378">
        <w:rPr>
          <w:sz w:val="24"/>
          <w:szCs w:val="24"/>
          <w:lang w:val="id-ID"/>
        </w:rPr>
        <w:t xml:space="preserve"> dan profitabilitas</w:t>
      </w:r>
      <w:r w:rsidR="00D419EF">
        <w:rPr>
          <w:sz w:val="22"/>
          <w:lang w:val="id-ID"/>
        </w:rPr>
        <w:t>. Metode p</w:t>
      </w:r>
      <w:r w:rsidRPr="00202A4F">
        <w:rPr>
          <w:sz w:val="22"/>
          <w:lang w:val="id-ID"/>
        </w:rPr>
        <w:t>enelitian ini memakai pendekata</w:t>
      </w:r>
      <w:r w:rsidR="006B0378">
        <w:rPr>
          <w:sz w:val="22"/>
          <w:lang w:val="id-ID"/>
        </w:rPr>
        <w:t>n kualitatif. H</w:t>
      </w:r>
      <w:r w:rsidRPr="00202A4F">
        <w:rPr>
          <w:sz w:val="22"/>
          <w:lang w:val="id-ID"/>
        </w:rPr>
        <w:t xml:space="preserve">asil penelitian ini </w:t>
      </w:r>
      <w:r w:rsidR="006B0378" w:rsidRPr="003005FB">
        <w:rPr>
          <w:sz w:val="24"/>
          <w:szCs w:val="24"/>
        </w:rPr>
        <w:t xml:space="preserve">diidentifikasikan bahwa perhitungan </w:t>
      </w:r>
      <w:r w:rsidR="006B0378" w:rsidRPr="00903DC8">
        <w:rPr>
          <w:i/>
          <w:sz w:val="24"/>
          <w:szCs w:val="24"/>
        </w:rPr>
        <w:t>Debt To Asset Ratio</w:t>
      </w:r>
      <w:r w:rsidR="006B0378" w:rsidRPr="003005FB">
        <w:rPr>
          <w:sz w:val="24"/>
          <w:szCs w:val="24"/>
        </w:rPr>
        <w:t xml:space="preserve"> di Bengkel LA (Linggau </w:t>
      </w:r>
      <w:r w:rsidR="006B0378" w:rsidRPr="00903DC8">
        <w:rPr>
          <w:i/>
          <w:sz w:val="24"/>
          <w:szCs w:val="24"/>
        </w:rPr>
        <w:t>Advertising)</w:t>
      </w:r>
      <w:r w:rsidR="00D419EF">
        <w:rPr>
          <w:sz w:val="24"/>
          <w:szCs w:val="24"/>
        </w:rPr>
        <w:t xml:space="preserve"> </w:t>
      </w:r>
      <w:r w:rsidR="00D419EF">
        <w:rPr>
          <w:sz w:val="24"/>
          <w:szCs w:val="24"/>
          <w:lang w:val="id-ID"/>
        </w:rPr>
        <w:t>K</w:t>
      </w:r>
      <w:r w:rsidR="00D419EF">
        <w:rPr>
          <w:sz w:val="24"/>
          <w:szCs w:val="24"/>
        </w:rPr>
        <w:t xml:space="preserve">ota </w:t>
      </w:r>
      <w:r w:rsidR="00D419EF">
        <w:rPr>
          <w:sz w:val="24"/>
          <w:szCs w:val="24"/>
          <w:lang w:val="id-ID"/>
        </w:rPr>
        <w:t>L</w:t>
      </w:r>
      <w:r w:rsidR="006B0378" w:rsidRPr="003005FB">
        <w:rPr>
          <w:sz w:val="24"/>
          <w:szCs w:val="24"/>
        </w:rPr>
        <w:t>ubuklinggau pada tahun 2016</w:t>
      </w:r>
      <w:r w:rsidR="006B0378">
        <w:rPr>
          <w:sz w:val="24"/>
          <w:szCs w:val="24"/>
          <w:lang w:val="id-ID"/>
        </w:rPr>
        <w:t>-2020</w:t>
      </w:r>
      <w:r w:rsidR="006B0378" w:rsidRPr="003005FB">
        <w:rPr>
          <w:sz w:val="24"/>
          <w:szCs w:val="24"/>
        </w:rPr>
        <w:t xml:space="preserve"> dapat dikatakan </w:t>
      </w:r>
      <w:r w:rsidR="006B0378" w:rsidRPr="00903DC8">
        <w:rPr>
          <w:i/>
          <w:sz w:val="24"/>
          <w:szCs w:val="24"/>
        </w:rPr>
        <w:t>Debt To Asset Ratio</w:t>
      </w:r>
      <w:r w:rsidR="006B0378" w:rsidRPr="003005FB">
        <w:rPr>
          <w:sz w:val="24"/>
          <w:szCs w:val="24"/>
        </w:rPr>
        <w:t xml:space="preserve"> “sehat”,</w:t>
      </w:r>
      <w:r w:rsidR="006B0378">
        <w:rPr>
          <w:sz w:val="24"/>
          <w:szCs w:val="24"/>
          <w:lang w:val="id-ID"/>
        </w:rPr>
        <w:t xml:space="preserve"> </w:t>
      </w:r>
      <w:r w:rsidR="00D419EF">
        <w:rPr>
          <w:sz w:val="24"/>
          <w:szCs w:val="24"/>
          <w:lang w:val="id-ID"/>
        </w:rPr>
        <w:t>dari</w:t>
      </w:r>
      <w:r w:rsidR="006B0378">
        <w:rPr>
          <w:sz w:val="24"/>
          <w:szCs w:val="24"/>
          <w:lang w:val="id-ID"/>
        </w:rPr>
        <w:t xml:space="preserve"> perhitungan DER dikatakan sehat, LTDtER dinyatakan sehat, ROA dinyatakan sehat, dan ROE juga dinyatakan sehat</w:t>
      </w:r>
      <w:r w:rsidR="00D419EF">
        <w:rPr>
          <w:sz w:val="24"/>
          <w:szCs w:val="24"/>
          <w:lang w:val="id-ID"/>
        </w:rPr>
        <w:t xml:space="preserve">. </w:t>
      </w:r>
      <w:r w:rsidR="00D419EF" w:rsidRPr="005E0AF5">
        <w:rPr>
          <w:sz w:val="24"/>
          <w:szCs w:val="24"/>
        </w:rPr>
        <w:t xml:space="preserve">Tingkat solvabilitas di Bengkel LA (Linggau </w:t>
      </w:r>
      <w:r w:rsidR="00D419EF" w:rsidRPr="00DD6245">
        <w:rPr>
          <w:i/>
          <w:sz w:val="24"/>
          <w:szCs w:val="24"/>
        </w:rPr>
        <w:t>Advertising</w:t>
      </w:r>
      <w:r w:rsidR="00D419EF">
        <w:rPr>
          <w:sz w:val="24"/>
          <w:szCs w:val="24"/>
        </w:rPr>
        <w:t xml:space="preserve">) </w:t>
      </w:r>
      <w:proofErr w:type="gramStart"/>
      <w:r w:rsidR="00D419EF">
        <w:rPr>
          <w:sz w:val="24"/>
          <w:szCs w:val="24"/>
        </w:rPr>
        <w:t>kota</w:t>
      </w:r>
      <w:proofErr w:type="gramEnd"/>
      <w:r w:rsidR="00D419EF">
        <w:rPr>
          <w:sz w:val="24"/>
          <w:szCs w:val="24"/>
        </w:rPr>
        <w:t xml:space="preserve"> </w:t>
      </w:r>
      <w:r w:rsidR="00D419EF">
        <w:rPr>
          <w:sz w:val="24"/>
          <w:szCs w:val="24"/>
          <w:lang w:val="id-ID"/>
        </w:rPr>
        <w:t>L</w:t>
      </w:r>
      <w:r w:rsidR="00D419EF" w:rsidRPr="005E0AF5">
        <w:rPr>
          <w:sz w:val="24"/>
          <w:szCs w:val="24"/>
        </w:rPr>
        <w:t>ubuklinggau</w:t>
      </w:r>
      <w:r w:rsidR="00D419EF">
        <w:rPr>
          <w:sz w:val="24"/>
          <w:szCs w:val="24"/>
          <w:lang w:val="id-ID"/>
        </w:rPr>
        <w:t xml:space="preserve"> pada tahun 2016-2020 dinyatakan stabil, namun t</w:t>
      </w:r>
      <w:r w:rsidR="00D419EF" w:rsidRPr="005E0AF5">
        <w:rPr>
          <w:sz w:val="24"/>
          <w:szCs w:val="24"/>
        </w:rPr>
        <w:t>ingkat rasio profitabilitas selama lima tahun (2016-2020) tidak stabil karena mengalami naik turun</w:t>
      </w:r>
      <w:r w:rsidR="00D419EF">
        <w:rPr>
          <w:sz w:val="24"/>
          <w:szCs w:val="24"/>
          <w:lang w:val="id-ID"/>
        </w:rPr>
        <w:t>.</w:t>
      </w:r>
    </w:p>
    <w:p w:rsidR="00D419EF" w:rsidRPr="006B0378" w:rsidRDefault="00D419EF" w:rsidP="00202A4F">
      <w:pPr>
        <w:spacing w:line="276" w:lineRule="auto"/>
        <w:jc w:val="both"/>
        <w:rPr>
          <w:b/>
          <w:sz w:val="22"/>
          <w:lang w:val="id-ID"/>
        </w:rPr>
      </w:pPr>
    </w:p>
    <w:p w:rsidR="0090572C" w:rsidRPr="00D419EF" w:rsidRDefault="0090572C" w:rsidP="0090572C">
      <w:pPr>
        <w:ind w:left="1440" w:hanging="1440"/>
        <w:rPr>
          <w:sz w:val="22"/>
          <w:szCs w:val="24"/>
          <w:lang w:val="id-ID"/>
        </w:rPr>
      </w:pPr>
      <w:r w:rsidRPr="0090572C">
        <w:rPr>
          <w:b/>
          <w:sz w:val="22"/>
          <w:szCs w:val="24"/>
        </w:rPr>
        <w:t xml:space="preserve">Kata </w:t>
      </w:r>
      <w:proofErr w:type="gramStart"/>
      <w:r w:rsidRPr="0090572C">
        <w:rPr>
          <w:b/>
          <w:sz w:val="22"/>
          <w:szCs w:val="24"/>
        </w:rPr>
        <w:t>kunci :</w:t>
      </w:r>
      <w:proofErr w:type="gramEnd"/>
      <w:r w:rsidRPr="0090572C">
        <w:rPr>
          <w:b/>
          <w:sz w:val="22"/>
          <w:szCs w:val="24"/>
        </w:rPr>
        <w:t xml:space="preserve"> </w:t>
      </w:r>
      <w:r w:rsidR="00D419EF">
        <w:rPr>
          <w:sz w:val="22"/>
          <w:szCs w:val="24"/>
          <w:lang w:val="id-ID"/>
        </w:rPr>
        <w:t>Rasio Solvabilitas</w:t>
      </w:r>
      <w:r w:rsidRPr="0090572C">
        <w:rPr>
          <w:sz w:val="22"/>
          <w:szCs w:val="24"/>
        </w:rPr>
        <w:t xml:space="preserve">, </w:t>
      </w:r>
      <w:r w:rsidR="00D419EF">
        <w:rPr>
          <w:sz w:val="22"/>
          <w:szCs w:val="24"/>
          <w:lang w:val="id-ID"/>
        </w:rPr>
        <w:t>Rasio Profitabilitas</w:t>
      </w:r>
      <w:r w:rsidRPr="0090572C">
        <w:rPr>
          <w:sz w:val="22"/>
          <w:szCs w:val="24"/>
        </w:rPr>
        <w:t>,</w:t>
      </w:r>
      <w:r w:rsidR="00D419EF">
        <w:rPr>
          <w:sz w:val="22"/>
          <w:szCs w:val="24"/>
          <w:lang w:val="id-ID"/>
        </w:rPr>
        <w:t xml:space="preserve"> Kinerja Keuangan</w:t>
      </w:r>
    </w:p>
    <w:p w:rsidR="0090572C" w:rsidRDefault="0090572C" w:rsidP="0090572C">
      <w:pPr>
        <w:ind w:left="1440" w:hanging="1440"/>
        <w:rPr>
          <w:sz w:val="22"/>
          <w:szCs w:val="24"/>
          <w:lang w:val="id-ID"/>
        </w:rPr>
      </w:pPr>
    </w:p>
    <w:p w:rsidR="0090572C" w:rsidRPr="0090572C" w:rsidRDefault="0090572C" w:rsidP="0090572C">
      <w:pPr>
        <w:ind w:left="1440" w:hanging="1440"/>
        <w:rPr>
          <w:sz w:val="22"/>
          <w:szCs w:val="24"/>
          <w:lang w:val="id-ID"/>
        </w:rPr>
      </w:pPr>
    </w:p>
    <w:p w:rsidR="007D1230" w:rsidRDefault="007D1230" w:rsidP="007D1230">
      <w:pPr>
        <w:rPr>
          <w:sz w:val="22"/>
          <w:szCs w:val="22"/>
          <w:lang w:val="id-ID"/>
        </w:rPr>
      </w:pPr>
    </w:p>
    <w:p w:rsidR="007D1230" w:rsidRPr="00DB2237" w:rsidRDefault="007D1230" w:rsidP="007D1230">
      <w:pPr>
        <w:jc w:val="center"/>
        <w:rPr>
          <w:sz w:val="22"/>
          <w:szCs w:val="22"/>
        </w:rPr>
      </w:pPr>
      <w:r w:rsidRPr="00DB2237">
        <w:rPr>
          <w:b/>
          <w:bCs/>
          <w:i/>
          <w:iCs/>
          <w:sz w:val="22"/>
          <w:szCs w:val="22"/>
        </w:rPr>
        <w:t>Abstract</w:t>
      </w:r>
    </w:p>
    <w:p w:rsidR="00D419EF" w:rsidRPr="00D419EF" w:rsidRDefault="00D419EF" w:rsidP="002D4F25">
      <w:pPr>
        <w:jc w:val="both"/>
        <w:rPr>
          <w:i/>
          <w:sz w:val="22"/>
        </w:rPr>
      </w:pPr>
      <w:r w:rsidRPr="00D419EF">
        <w:rPr>
          <w:i/>
          <w:sz w:val="22"/>
        </w:rPr>
        <w:t xml:space="preserve">The problem in this study is regarding financial performance in terms of DAR, DER, LTDter, ROA and ROE. The purpose of this study was to determine the financial statements at the LA Workshop (Linggau Advertising) Lubukinggau City in terms of solvency and profitability ratios. This research method uses a qualitative approach. The results of this study identified that the calculation of the Debt </w:t>
      </w:r>
      <w:proofErr w:type="gramStart"/>
      <w:r w:rsidRPr="00D419EF">
        <w:rPr>
          <w:i/>
          <w:sz w:val="22"/>
        </w:rPr>
        <w:t>To</w:t>
      </w:r>
      <w:proofErr w:type="gramEnd"/>
      <w:r w:rsidRPr="00D419EF">
        <w:rPr>
          <w:i/>
          <w:sz w:val="22"/>
        </w:rPr>
        <w:t xml:space="preserve"> Asset Ratio at the LA Workshop (Linggau Advertising) Lubuklinggau City in 2016-2020 can be said that the Debt To Asset Ratio is "healthy", from the calculation of DER it is said to be healthy, LTDtER is declared healthy, ROA is declared healthy, and ROE is declared healthy. </w:t>
      </w:r>
      <w:proofErr w:type="gramStart"/>
      <w:r w:rsidRPr="00D419EF">
        <w:rPr>
          <w:i/>
          <w:sz w:val="22"/>
        </w:rPr>
        <w:t>also</w:t>
      </w:r>
      <w:proofErr w:type="gramEnd"/>
      <w:r w:rsidRPr="00D419EF">
        <w:rPr>
          <w:i/>
          <w:sz w:val="22"/>
        </w:rPr>
        <w:t xml:space="preserve"> declared healthy. The solvency level at Bengkel LA (Linggau Advertising) Lubuklinggau city in 2016-2020 was declared stable, but the profitability ratio level for five years (2016-2020) was unstable due to ups and downs.</w:t>
      </w:r>
    </w:p>
    <w:p w:rsidR="00D419EF" w:rsidRPr="00D419EF" w:rsidRDefault="00D419EF" w:rsidP="002D4F25">
      <w:pPr>
        <w:jc w:val="both"/>
        <w:rPr>
          <w:i/>
          <w:sz w:val="22"/>
        </w:rPr>
      </w:pPr>
    </w:p>
    <w:p w:rsidR="007D1230" w:rsidRPr="002D4F25" w:rsidRDefault="00D419EF" w:rsidP="002D4F25">
      <w:pPr>
        <w:jc w:val="both"/>
        <w:rPr>
          <w:rStyle w:val="hps"/>
          <w:b/>
          <w:sz w:val="22"/>
          <w:szCs w:val="22"/>
          <w:lang w:val="id-ID"/>
        </w:rPr>
      </w:pPr>
      <w:r w:rsidRPr="002D4F25">
        <w:rPr>
          <w:b/>
          <w:i/>
          <w:sz w:val="22"/>
        </w:rPr>
        <w:t>Keywords: Solvency Ratio, Profitability Ratio, Financial Performance</w:t>
      </w:r>
    </w:p>
    <w:p w:rsidR="00114A05" w:rsidRDefault="00114A05" w:rsidP="007D1230">
      <w:pPr>
        <w:rPr>
          <w:rStyle w:val="hps"/>
          <w:sz w:val="22"/>
          <w:szCs w:val="22"/>
          <w:lang w:val="id-ID"/>
        </w:rPr>
      </w:pPr>
    </w:p>
    <w:p w:rsidR="002D4F25" w:rsidRDefault="002D4F25" w:rsidP="007D1230">
      <w:pPr>
        <w:rPr>
          <w:rStyle w:val="hps"/>
          <w:sz w:val="22"/>
          <w:szCs w:val="22"/>
          <w:lang w:val="id-ID"/>
        </w:rPr>
      </w:pPr>
    </w:p>
    <w:p w:rsidR="002D4F25" w:rsidRDefault="002D4F25" w:rsidP="007D1230">
      <w:pPr>
        <w:rPr>
          <w:rStyle w:val="hps"/>
          <w:sz w:val="22"/>
          <w:szCs w:val="22"/>
          <w:lang w:val="id-ID"/>
        </w:rPr>
      </w:pPr>
    </w:p>
    <w:p w:rsidR="002D4F25" w:rsidRPr="0090572C" w:rsidRDefault="002D4F25" w:rsidP="007D1230">
      <w:pPr>
        <w:rPr>
          <w:rStyle w:val="hps"/>
          <w:sz w:val="22"/>
          <w:szCs w:val="22"/>
          <w:lang w:val="id-ID"/>
        </w:rPr>
        <w:sectPr w:rsidR="002D4F25" w:rsidRPr="0090572C" w:rsidSect="00D90AD6">
          <w:headerReference w:type="default" r:id="rId12"/>
          <w:footerReference w:type="default" r:id="rId13"/>
          <w:pgSz w:w="11906" w:h="16838" w:code="9"/>
          <w:pgMar w:top="1701" w:right="1701" w:bottom="1701" w:left="1701" w:header="850" w:footer="850" w:gutter="0"/>
          <w:cols w:space="708"/>
          <w:docGrid w:linePitch="360"/>
        </w:sectPr>
      </w:pPr>
    </w:p>
    <w:p w:rsidR="00D419EF" w:rsidRDefault="00D419EF" w:rsidP="00DB2237">
      <w:pPr>
        <w:rPr>
          <w:lang w:val="id-ID"/>
        </w:rPr>
      </w:pPr>
    </w:p>
    <w:p w:rsidR="00D419EF" w:rsidRDefault="00D419EF" w:rsidP="00DB2237">
      <w:pPr>
        <w:rPr>
          <w:lang w:val="id-ID"/>
        </w:rPr>
      </w:pPr>
    </w:p>
    <w:p w:rsidR="00D419EF" w:rsidRDefault="00D419EF" w:rsidP="00DB2237">
      <w:pPr>
        <w:rPr>
          <w:lang w:val="id-ID"/>
        </w:rPr>
      </w:pPr>
    </w:p>
    <w:p w:rsidR="002D4F25" w:rsidRDefault="002D4F25" w:rsidP="00DB2237">
      <w:pPr>
        <w:rPr>
          <w:lang w:val="id-ID"/>
        </w:rPr>
      </w:pPr>
    </w:p>
    <w:p w:rsidR="002D4F25" w:rsidRDefault="002D4F25" w:rsidP="00DB2237">
      <w:pPr>
        <w:rPr>
          <w:lang w:val="id-ID"/>
        </w:rPr>
      </w:pPr>
    </w:p>
    <w:p w:rsidR="002D4F25" w:rsidRDefault="002D4F25" w:rsidP="00DB2237">
      <w:pPr>
        <w:rPr>
          <w:lang w:val="id-ID"/>
        </w:rPr>
      </w:pPr>
    </w:p>
    <w:p w:rsidR="002D4F25" w:rsidRDefault="002D4F25" w:rsidP="00DB2237">
      <w:pPr>
        <w:rPr>
          <w:lang w:val="id-ID"/>
        </w:rPr>
      </w:pPr>
    </w:p>
    <w:p w:rsidR="002D4F25" w:rsidRDefault="002D4F25" w:rsidP="00DB2237">
      <w:pPr>
        <w:rPr>
          <w:lang w:val="id-ID"/>
        </w:rPr>
      </w:pPr>
    </w:p>
    <w:p w:rsidR="002D4F25" w:rsidRDefault="002D4F25" w:rsidP="00DB2237">
      <w:pPr>
        <w:rPr>
          <w:lang w:val="id-ID"/>
        </w:rPr>
      </w:pPr>
    </w:p>
    <w:p w:rsidR="002D4F25" w:rsidRDefault="002D4F25" w:rsidP="00DB2237">
      <w:pPr>
        <w:rPr>
          <w:lang w:val="id-ID"/>
        </w:rPr>
      </w:pPr>
    </w:p>
    <w:p w:rsidR="002D4F25" w:rsidRDefault="002D4F25" w:rsidP="00DB2237">
      <w:pPr>
        <w:rPr>
          <w:lang w:val="id-ID"/>
        </w:rPr>
      </w:pPr>
    </w:p>
    <w:p w:rsidR="002D4F25" w:rsidRDefault="002D4F25" w:rsidP="00DB2237">
      <w:pPr>
        <w:rPr>
          <w:lang w:val="id-ID"/>
        </w:rPr>
      </w:pPr>
    </w:p>
    <w:p w:rsidR="002D4F25" w:rsidRPr="00DB2237" w:rsidRDefault="002D4F25" w:rsidP="00DB2237">
      <w:pPr>
        <w:rPr>
          <w:lang w:val="id-ID"/>
        </w:rPr>
        <w:sectPr w:rsidR="002D4F25" w:rsidRPr="00DB2237" w:rsidSect="00D90AD6">
          <w:headerReference w:type="default" r:id="rId14"/>
          <w:footerReference w:type="default" r:id="rId15"/>
          <w:type w:val="continuous"/>
          <w:pgSz w:w="11906" w:h="16838" w:code="9"/>
          <w:pgMar w:top="1701" w:right="1701" w:bottom="1701" w:left="1701" w:header="850" w:footer="709" w:gutter="0"/>
          <w:cols w:num="2" w:space="708"/>
          <w:docGrid w:linePitch="360"/>
        </w:sectPr>
      </w:pPr>
    </w:p>
    <w:p w:rsidR="001E2175" w:rsidRPr="001E2175" w:rsidRDefault="007D1230" w:rsidP="00121858">
      <w:pPr>
        <w:pStyle w:val="Heading1"/>
        <w:numPr>
          <w:ilvl w:val="0"/>
          <w:numId w:val="2"/>
        </w:numPr>
        <w:spacing w:line="276" w:lineRule="auto"/>
        <w:ind w:left="284" w:hanging="284"/>
      </w:pPr>
      <w:r w:rsidRPr="00D83057">
        <w:lastRenderedPageBreak/>
        <w:t>PENDAHULUAN</w:t>
      </w:r>
    </w:p>
    <w:p w:rsidR="0090572C" w:rsidRDefault="0090572C" w:rsidP="0090572C">
      <w:pPr>
        <w:spacing w:line="276" w:lineRule="auto"/>
        <w:ind w:firstLine="567"/>
        <w:contextualSpacing/>
        <w:jc w:val="both"/>
        <w:rPr>
          <w:sz w:val="24"/>
          <w:szCs w:val="24"/>
        </w:rPr>
        <w:sectPr w:rsidR="0090572C" w:rsidSect="00F473F0">
          <w:type w:val="continuous"/>
          <w:pgSz w:w="11906" w:h="16838" w:code="9"/>
          <w:pgMar w:top="1701" w:right="1701" w:bottom="1701" w:left="1701" w:header="850" w:footer="709" w:gutter="0"/>
          <w:cols w:space="708"/>
          <w:docGrid w:linePitch="360"/>
        </w:sectPr>
      </w:pPr>
    </w:p>
    <w:p w:rsidR="00121858" w:rsidRDefault="002D4F25" w:rsidP="00121858">
      <w:pPr>
        <w:pStyle w:val="ListParagraph"/>
        <w:ind w:firstLine="284"/>
        <w:rPr>
          <w:szCs w:val="24"/>
          <w:lang w:val="id-ID"/>
        </w:rPr>
      </w:pPr>
      <w:proofErr w:type="gramStart"/>
      <w:r w:rsidRPr="002D4F25">
        <w:rPr>
          <w:szCs w:val="24"/>
        </w:rPr>
        <w:lastRenderedPageBreak/>
        <w:t>Perkembangan ekonomi dunia pada saat ini sangat berkembang begitu pesat, sehubungan dengan pesatnya perkembangan menjadikan dunia usaha juga menimbulkan persaingan yang begitu pesat.</w:t>
      </w:r>
      <w:proofErr w:type="gramEnd"/>
      <w:r w:rsidRPr="002D4F25">
        <w:rPr>
          <w:szCs w:val="24"/>
        </w:rPr>
        <w:t xml:space="preserve"> Seperti pada perusahaan Bengkel LA (Linggau Advertising), usah ini bergerak dibidang jasa iklan media cetak periklanan tidak akan pernah sepi sebagaimana fungsinya dalam mengenalkan produk dan jasa yang akan semakin beraneka ragam, eksitensi suatu biro tak luput dari klien, klien merupakan suatu hal yang penting dalam suatu biro iklan. Pemasukan dan keloyalan dari klien adalah sasaran utama untuk terus maju dan bertahan dalam persaingan dalam dunia usaha dan bisnis seperti saat ini, strategi komunikasi yang diterapkan salah satu hal terpenting dalam mempertahankan klien dari persiangan bisnis oleh kompetitor lain demi mendapatkan kepercayaan klien/konsumen. Persaingan antar biro iklan akan selalu ada dan akan terus meningkat dari tahun ke tahun, peningkatan tersebut untuk mempertahankan eksitensi dari biro iklan mereka.</w:t>
      </w:r>
      <w:r w:rsidRPr="002D4F25">
        <w:rPr>
          <w:szCs w:val="24"/>
        </w:rPr>
        <w:fldChar w:fldCharType="begin" w:fldLock="1"/>
      </w:r>
      <w:r w:rsidR="00080BD7">
        <w:rPr>
          <w:szCs w:val="24"/>
        </w:rPr>
        <w:instrText>ADDIN CSL_CITATION {"citationItems":[{"id":"ITEM-1","itemData":{"abstract":"With the splendor of advertising through above the line and the line bellows, then a separate issue for producers and advertising agencies to be able to create an effective to attract the attention of consumers on a product. And can be effective, if the purpose of advertising can be achieved or accomplished and useful for companies in the implementation of marketing functions, so a advertising be flexible, stable, sustainable, simple, and easy to understanding. Can create effective advertising is, of course, must begin with an understanding of the advertised product marketing programs, in addition to the ad should creative, has appeal, credibility endorse be aware of recall advertising is part of marketing activities. Through promotional activities, advertising is one of the strategies in marketing communications, to introduce or explain the product is marketed. Strategy that is often used in the shooting target market is the grouping of market/segment as an area prospective buyers/users. Selection of a specific market group will be easier to communicate through media advertising products. Or character traits in a group is a market segment of data to facilitate market the product. Market segment the reference and the main purpose of the products offered through advertising. Therefore, in designing advertising must understand and know what is happening in the market as a place of pitching products.","author":[{"dropping-particle":"","family":"Lukitaningsih","given":"Ambar","non-dropping-particle":"","parse-names":false,"suffix":""}],"container-title":"Jurnal Ekonomi dan Kewirausahaan","id":"ITEM-1","issue":"2","issued":{"date-parts":[["2013"]]},"page":"116-129","title":"IKLAN YANG EFEKTIF SEBAGAI STRATEGI KOMUNIKASI PEMASARAN Ambar Lukitaningsih Fakultas Ekonomi Universitas Sarjanawiyata Tamansiswa Yogyakarta","type":"article-journal","volume":"13"},"uris":["http://www.mendeley.com/documents/?uuid=cae5c4b9-8815-4cda-a734-64ba8c30b3c1","http://www.mendeley.com/documents/?uuid=fa0a5ae5-362f-49d5-a1e2-11d481b06520"]}],"mendeley":{"formattedCitation":"(Lukitaningsih, 2013)","plainTextFormattedCitation":"(Lukitaningsih, 2013)","previouslyFormattedCitation":"(Lukitaningsih, 2013)"},"properties":{"noteIndex":0},"schema":"https://github.com/citation-style-language/schema/raw/master/csl-citation.json"}</w:instrText>
      </w:r>
      <w:r w:rsidRPr="002D4F25">
        <w:rPr>
          <w:szCs w:val="24"/>
        </w:rPr>
        <w:fldChar w:fldCharType="separate"/>
      </w:r>
      <w:r w:rsidRPr="002D4F25">
        <w:rPr>
          <w:noProof/>
          <w:szCs w:val="24"/>
        </w:rPr>
        <w:t>(Lukitaningsih, 2013)</w:t>
      </w:r>
      <w:r w:rsidRPr="002D4F25">
        <w:rPr>
          <w:szCs w:val="24"/>
        </w:rPr>
        <w:fldChar w:fldCharType="end"/>
      </w:r>
    </w:p>
    <w:p w:rsidR="00121858" w:rsidRDefault="002D4F25" w:rsidP="00121858">
      <w:pPr>
        <w:pStyle w:val="ListParagraph"/>
        <w:ind w:firstLine="284"/>
        <w:rPr>
          <w:szCs w:val="24"/>
          <w:lang w:val="id-ID"/>
        </w:rPr>
      </w:pPr>
      <w:r w:rsidRPr="00121858">
        <w:rPr>
          <w:szCs w:val="24"/>
        </w:rPr>
        <w:t xml:space="preserve">Pada analisis kali ini dilakukan untuk mengetahui kinerja kuangan perusahaan dengan metode </w:t>
      </w:r>
      <w:r w:rsidRPr="00121858">
        <w:rPr>
          <w:i/>
          <w:szCs w:val="24"/>
        </w:rPr>
        <w:t>Debt To Asset</w:t>
      </w:r>
      <w:r w:rsidRPr="00121858">
        <w:rPr>
          <w:szCs w:val="24"/>
        </w:rPr>
        <w:t xml:space="preserve"> (DAR), </w:t>
      </w:r>
      <w:r w:rsidRPr="00121858">
        <w:rPr>
          <w:i/>
          <w:szCs w:val="24"/>
        </w:rPr>
        <w:t>Debt To Equity</w:t>
      </w:r>
      <w:r w:rsidRPr="00121858">
        <w:rPr>
          <w:szCs w:val="24"/>
        </w:rPr>
        <w:t xml:space="preserve"> (DER), </w:t>
      </w:r>
      <w:r w:rsidRPr="00121858">
        <w:rPr>
          <w:i/>
          <w:szCs w:val="24"/>
        </w:rPr>
        <w:t>Long Term Debt To Equity Ratio</w:t>
      </w:r>
      <w:r w:rsidRPr="00121858">
        <w:rPr>
          <w:szCs w:val="24"/>
        </w:rPr>
        <w:t xml:space="preserve"> (LADtER), </w:t>
      </w:r>
      <w:r w:rsidRPr="00121858">
        <w:rPr>
          <w:i/>
          <w:szCs w:val="24"/>
        </w:rPr>
        <w:t xml:space="preserve">Return To Asset </w:t>
      </w:r>
      <w:r w:rsidRPr="00121858">
        <w:rPr>
          <w:szCs w:val="24"/>
        </w:rPr>
        <w:t xml:space="preserve">(ROA), </w:t>
      </w:r>
      <w:r w:rsidRPr="00121858">
        <w:rPr>
          <w:i/>
          <w:szCs w:val="24"/>
        </w:rPr>
        <w:t>Return On Equity</w:t>
      </w:r>
      <w:r w:rsidRPr="00121858">
        <w:rPr>
          <w:szCs w:val="24"/>
        </w:rPr>
        <w:t xml:space="preserve"> (ROE) di Bengkel LA (Linggau Advertising) dikota lubuklinggau. Yang </w:t>
      </w:r>
      <w:proofErr w:type="gramStart"/>
      <w:r w:rsidRPr="00121858">
        <w:rPr>
          <w:szCs w:val="24"/>
        </w:rPr>
        <w:t>beralamat  di</w:t>
      </w:r>
      <w:proofErr w:type="gramEnd"/>
      <w:r w:rsidRPr="00121858">
        <w:rPr>
          <w:szCs w:val="24"/>
        </w:rPr>
        <w:t xml:space="preserve"> JL.Sejahtera, Kel. Batu Urip Taba, Kec. Lubuklinggau Timur I Kota Lubuklinggau,  Bengkel LA (Linggau </w:t>
      </w:r>
      <w:r w:rsidRPr="00121858">
        <w:rPr>
          <w:i/>
          <w:szCs w:val="24"/>
        </w:rPr>
        <w:t>Advertising</w:t>
      </w:r>
      <w:r w:rsidRPr="00121858">
        <w:rPr>
          <w:szCs w:val="24"/>
        </w:rPr>
        <w:t xml:space="preserve">) adalah perusahaan yang sudah berkembang di Kota Lubuklinggau, merupakan perusahaan manufaktur yang bergerak dibidang percetakan Reklame berupa Neon  Box, Billboard, Plank Merk, Digital Printing Bengkel LA (Linggau Advertising) memiliki laporan keuangan yang memuat laporan neraca dan laporan laba rugi. Laporan </w:t>
      </w:r>
      <w:r w:rsidRPr="00121858">
        <w:rPr>
          <w:szCs w:val="24"/>
        </w:rPr>
        <w:lastRenderedPageBreak/>
        <w:t xml:space="preserve">kuangan tersebutlah yang </w:t>
      </w:r>
      <w:proofErr w:type="gramStart"/>
      <w:r w:rsidRPr="00121858">
        <w:rPr>
          <w:szCs w:val="24"/>
        </w:rPr>
        <w:t>akan</w:t>
      </w:r>
      <w:proofErr w:type="gramEnd"/>
      <w:r w:rsidRPr="00121858">
        <w:rPr>
          <w:szCs w:val="24"/>
        </w:rPr>
        <w:t xml:space="preserve"> dianalisis oleh peneliti, laporan keuangan yang kan dianalisis yaitu laporan neraca dan laporan laba rugi. </w:t>
      </w:r>
      <w:proofErr w:type="gramStart"/>
      <w:r w:rsidRPr="00121858">
        <w:rPr>
          <w:szCs w:val="24"/>
        </w:rPr>
        <w:t>Dari tahun 2016, 2017, 2018, 2019, dan 2020.</w:t>
      </w:r>
      <w:proofErr w:type="gramEnd"/>
    </w:p>
    <w:p w:rsidR="00121858" w:rsidRDefault="002D4F25" w:rsidP="00121858">
      <w:pPr>
        <w:pStyle w:val="ListParagraph"/>
        <w:ind w:firstLine="284"/>
        <w:rPr>
          <w:szCs w:val="24"/>
          <w:lang w:val="id-ID"/>
        </w:rPr>
      </w:pPr>
      <w:r w:rsidRPr="00121858">
        <w:rPr>
          <w:szCs w:val="24"/>
        </w:rPr>
        <w:t xml:space="preserve">Sama halnya dengan perusahhan </w:t>
      </w:r>
      <w:proofErr w:type="gramStart"/>
      <w:r w:rsidRPr="00121858">
        <w:rPr>
          <w:szCs w:val="24"/>
        </w:rPr>
        <w:t>lain</w:t>
      </w:r>
      <w:proofErr w:type="gramEnd"/>
      <w:r w:rsidRPr="00121858">
        <w:rPr>
          <w:szCs w:val="24"/>
        </w:rPr>
        <w:t xml:space="preserve"> pada umumnya Bengkel LA (Linggau Advertising) juga membutuhkan suatu alat yang bisa digunakan untuk mengetahui kinerja keuangan agar manajemen dari pihak Bengkel LA (Linggau Advertising) dapat melaksanakan tugas dan kewajiban dengan baik dan sesuai dengan tujuan dari bengkel pada umumnya. Kegiatan usaha yang dimaksud dapat berupa pelayanan dibidang percetakan, perdagangan industry, kontraktor atau kegiatan lainya.</w:t>
      </w:r>
      <w:r w:rsidRPr="00121858">
        <w:rPr>
          <w:szCs w:val="24"/>
        </w:rPr>
        <w:fldChar w:fldCharType="begin" w:fldLock="1"/>
      </w:r>
      <w:r w:rsidR="00080BD7">
        <w:rPr>
          <w:szCs w:val="24"/>
        </w:rPr>
        <w:instrText>ADDIN CSL_CITATION {"citationItems":[{"id":"ITEM-1","itemData":{"abstract":"With the splendor of advertising through above the line and the line bellows, then a separate issue for producers and advertising agencies to be able to create an effective to attract the attention of consumers on a product. And can be effective, if the purpose of advertising can be achieved or accomplished and useful for companies in the implementation of marketing functions, so a advertising be flexible, stable, sustainable, simple, and easy to understanding. Can create effective advertising is, of course, must begin with an understanding of the advertised product marketing programs, in addition to the ad should creative, has appeal, credibility endorse be aware of recall advertising is part of marketing activities. Through promotional activities, advertising is one of the strategies in marketing communications, to introduce or explain the product is marketed. Strategy that is often used in the shooting target market is the grouping of market/segment as an area prospective buyers/users. Selection of a specific market group will be easier to communicate through media advertising products. Or character traits in a group is a market segment of data to facilitate market the product. Market segment the reference and the main purpose of the products offered through advertising. Therefore, in designing advertising must understand and know what is happening in the market as a place of pitching products.","author":[{"dropping-particle":"","family":"Lukitaningsih","given":"Ambar","non-dropping-particle":"","parse-names":false,"suffix":""}],"container-title":"Jurnal Ekonomi dan Kewirausahaan","id":"ITEM-1","issue":"2","issued":{"date-parts":[["2013"]]},"page":"116-129","title":"IKLAN YANG EFEKTIF SEBAGAI STRATEGI KOMUNIKASI PEMASARAN Ambar Lukitaningsih Fakultas Ekonomi Universitas Sarjanawiyata Tamansiswa Yogyakarta","type":"article-journal","volume":"13"},"uris":["http://www.mendeley.com/documents/?uuid=fa0a5ae5-362f-49d5-a1e2-11d481b06520","http://www.mendeley.com/documents/?uuid=cae5c4b9-8815-4cda-a734-64ba8c30b3c1"]}],"mendeley":{"formattedCitation":"(Lukitaningsih, 2013)","plainTextFormattedCitation":"(Lukitaningsih, 2013)","previouslyFormattedCitation":"(Lukitaningsih, 2013)"},"properties":{"noteIndex":0},"schema":"https://github.com/citation-style-language/schema/raw/master/csl-citation.json"}</w:instrText>
      </w:r>
      <w:r w:rsidRPr="00121858">
        <w:rPr>
          <w:szCs w:val="24"/>
        </w:rPr>
        <w:fldChar w:fldCharType="separate"/>
      </w:r>
      <w:r w:rsidRPr="00121858">
        <w:rPr>
          <w:noProof/>
          <w:szCs w:val="24"/>
        </w:rPr>
        <w:t>(Lukitaningsih, 2013)</w:t>
      </w:r>
      <w:r w:rsidRPr="00121858">
        <w:rPr>
          <w:szCs w:val="24"/>
        </w:rPr>
        <w:fldChar w:fldCharType="end"/>
      </w:r>
      <w:r w:rsidRPr="00121858">
        <w:rPr>
          <w:szCs w:val="24"/>
        </w:rPr>
        <w:t xml:space="preserve"> Pengukuran kinerja keuangan merupakan salah satu komponen penting didalm system pengendalian manajemen unruk mengetahui tingkat keberhasilan perusahaan dalam mencapai tujuan yang telah ditetapkan, baik tujuan jangka pendek maupun tujuan jangka panjang.</w:t>
      </w:r>
      <w:r w:rsidRPr="00121858">
        <w:rPr>
          <w:szCs w:val="24"/>
        </w:rPr>
        <w:fldChar w:fldCharType="begin" w:fldLock="1"/>
      </w:r>
      <w:r w:rsidR="00080BD7">
        <w:rPr>
          <w:szCs w:val="24"/>
        </w:rPr>
        <w:instrText>ADDIN CSL_CITATION {"citationItems":[{"id":"ITEM-1","itemData":{"DOI":"10.35794/emba.v1i3.2130","ISSN":"2303-1174","abstract":"Penilaian tingkat keuangan suatu perusahaan dapat dilakukan dengan menganalisis laporan keuangan perusahaan. Untuk mengetahui apakah keadaan keuangan perusahaan dalam kondisi yang baik dapat dilakukan berbagai analisa, salah satunya adalah analisis rasio. Tujuan penelitian ini adalah untuk mengetahui kinerja keuangan pada PT. Hanjaya Mandala Sampoerna Tbk ditinjau dari analisis rasio keuangan. Metode analisis yang digunakan adalah analisis deskriptif menggunakan pengukuran rasio likuiditas, solvabilitas, aktivitas dan profitabilitas. Data dan informasi penelitian diperoleh dari Bursa Efek Indonesia. Berdasarkan rasio likuiditas setiap tahunnya mengalami peningkatan sehingga keadaan perusahaan dikategorikan dalam keadaan baik (liquid). Dari rasio solvabilitas menunjukkan bahwa modal perusahaan tidak lagi mencukupi untuk menjamin hutang yang diberikan oleh kreditor sehingga keadaan perusahaan dikatakan dalam keadaan tidak baik (insolvable). Ditinjau dengan rasio aktivitas menujukkan peningkatan di setiap tahunnya sehingga keadaan perusahaan dikatakan dalam keadaan baik. Berdasarkan rasio profitabilitas menunjukkan adanya peningkatan dari tahun ke tahun sehingga dapat dikatakan keadaan perusahaan berada pada posisi yang baik.","author":[{"dropping-particle":"","family":"Maith","given":"Hendry Andres","non-dropping-particle":"","parse-names":false,"suffix":""}],"container-title":"Jurnal Riset Ekonomi, Manajemen, Bisnis dan Akuntansi","id":"ITEM-1","issue":"3","issued":{"date-parts":[["2013"]]},"page":"619-628","title":"Analisis Laporan Keuangan Dalam Mengukur Kinerja Keuangan Pada Pt. Hanjaya Mandala Sampoerna Tbk.","type":"article-journal","volume":"1"},"uris":["http://www.mendeley.com/documents/?uuid=bc2b785d-bf46-47d7-99eb-045cee0df253","http://www.mendeley.com/documents/?uuid=bbc406c6-642e-4cb8-a731-5b55a0eb6f5d"]}],"mendeley":{"formattedCitation":"(Maith, 2013)","plainTextFormattedCitation":"(Maith, 2013)","previouslyFormattedCitation":"(Maith, 2013)"},"properties":{"noteIndex":0},"schema":"https://github.com/citation-style-language/schema/raw/master/csl-citation.json"}</w:instrText>
      </w:r>
      <w:r w:rsidRPr="00121858">
        <w:rPr>
          <w:szCs w:val="24"/>
        </w:rPr>
        <w:fldChar w:fldCharType="separate"/>
      </w:r>
      <w:proofErr w:type="gramStart"/>
      <w:r w:rsidRPr="00121858">
        <w:rPr>
          <w:noProof/>
          <w:szCs w:val="24"/>
        </w:rPr>
        <w:t>(Maith, 2013)</w:t>
      </w:r>
      <w:r w:rsidRPr="00121858">
        <w:rPr>
          <w:szCs w:val="24"/>
        </w:rPr>
        <w:fldChar w:fldCharType="end"/>
      </w:r>
      <w:r w:rsidRPr="00121858">
        <w:rPr>
          <w:szCs w:val="24"/>
        </w:rPr>
        <w:t>.</w:t>
      </w:r>
      <w:proofErr w:type="gramEnd"/>
      <w:r w:rsidRPr="00121858">
        <w:rPr>
          <w:szCs w:val="24"/>
        </w:rPr>
        <w:t xml:space="preserve"> </w:t>
      </w:r>
      <w:proofErr w:type="gramStart"/>
      <w:r w:rsidRPr="00121858">
        <w:rPr>
          <w:szCs w:val="24"/>
        </w:rPr>
        <w:t>Dengan pengukuran kinerja keuangan ini dapat diprospek pertumbuhan dan perkembangan keuangan perusahaan dari mengandalkan sumber daya yang dimilkinya.</w:t>
      </w:r>
      <w:proofErr w:type="gramEnd"/>
      <w:r w:rsidRPr="00121858">
        <w:rPr>
          <w:szCs w:val="24"/>
        </w:rPr>
        <w:t xml:space="preserve"> </w:t>
      </w:r>
      <w:proofErr w:type="gramStart"/>
      <w:r w:rsidRPr="00121858">
        <w:rPr>
          <w:szCs w:val="24"/>
        </w:rPr>
        <w:t>Perusahaan dikatakan berhasil apabila perusahaan telah mencapai suatu kinerja</w:t>
      </w:r>
      <w:r w:rsidRPr="00121858">
        <w:rPr>
          <w:szCs w:val="24"/>
          <w:lang w:val="id-ID"/>
        </w:rPr>
        <w:t xml:space="preserve"> terentu yang telah ditetapkan.</w:t>
      </w:r>
      <w:proofErr w:type="gramEnd"/>
    </w:p>
    <w:p w:rsidR="00121858" w:rsidRDefault="00121858" w:rsidP="00121858">
      <w:pPr>
        <w:pStyle w:val="ListParagraph"/>
        <w:ind w:firstLine="284"/>
        <w:rPr>
          <w:szCs w:val="24"/>
          <w:lang w:val="id-ID"/>
        </w:rPr>
      </w:pPr>
      <w:proofErr w:type="gramStart"/>
      <w:r w:rsidRPr="00121858">
        <w:rPr>
          <w:szCs w:val="24"/>
        </w:rPr>
        <w:t>Laporan keuangan adalah laporan yang menunjukan kondisi keuangan perusahaan pada saat ini atau dalam suatu periode tertentu.</w:t>
      </w:r>
      <w:proofErr w:type="gramEnd"/>
      <w:r w:rsidRPr="00121858">
        <w:rPr>
          <w:szCs w:val="24"/>
        </w:rPr>
        <w:t xml:space="preserve"> </w:t>
      </w:r>
      <w:proofErr w:type="gramStart"/>
      <w:r w:rsidRPr="00121858">
        <w:rPr>
          <w:szCs w:val="24"/>
        </w:rPr>
        <w:t>Adappun maksud laporan keuangan yang menunmjukan kondisi perusahaan pada saat ini adalah keadaankeuangan perusahaan pada tanggal tertentu (untuk neraca) dan periode tertentu (untuk laba rugi).</w:t>
      </w:r>
      <w:proofErr w:type="gramEnd"/>
      <w:r w:rsidRPr="00121858">
        <w:rPr>
          <w:szCs w:val="24"/>
        </w:rPr>
        <w:t xml:space="preserve"> </w:t>
      </w:r>
      <w:proofErr w:type="gramStart"/>
      <w:r w:rsidRPr="00121858">
        <w:rPr>
          <w:szCs w:val="24"/>
        </w:rPr>
        <w:t>Biasanya laporan keuangan dibuat di perperiode misalnya tiga bulan, atau enam bulan.</w:t>
      </w:r>
      <w:proofErr w:type="gramEnd"/>
      <w:r w:rsidRPr="00121858">
        <w:rPr>
          <w:szCs w:val="24"/>
        </w:rPr>
        <w:t xml:space="preserve"> Sementara itu untuk laporan lebih luas dilakukan </w:t>
      </w:r>
      <w:proofErr w:type="gramStart"/>
      <w:r w:rsidRPr="00121858">
        <w:rPr>
          <w:szCs w:val="24"/>
        </w:rPr>
        <w:t>setahun  sekali</w:t>
      </w:r>
      <w:proofErr w:type="gramEnd"/>
      <w:r w:rsidRPr="00121858">
        <w:rPr>
          <w:szCs w:val="24"/>
        </w:rPr>
        <w:t xml:space="preserve">. </w:t>
      </w:r>
      <w:r w:rsidRPr="00121858">
        <w:rPr>
          <w:szCs w:val="24"/>
        </w:rPr>
        <w:fldChar w:fldCharType="begin" w:fldLock="1"/>
      </w:r>
      <w:r w:rsidR="00080BD7">
        <w:rPr>
          <w:szCs w:val="24"/>
        </w:rPr>
        <w:instrText>ADDIN CSL_CITATION {"citationItems":[{"id":"ITEM-1","itemData":{"author":[{"dropping-particle":"","family":"Kasmir","given":"","non-dropping-particle":"","parse-names":false,"suffix":""}],"id":"ITEM-1","issued":{"date-parts":[["2015"]]},"publisher":"PT Raja Grafindo Persada","publisher-place":"Jakarta","title":"Analisis Laporan Keuangan","type":"book"},"uris":["http://www.mendeley.com/documents/?uuid=1861c316-71a2-4ac4-bda9-ccf0b2ccfff7","http://www.mendeley.com/documents/?uuid=45d17f46-027e-430b-af36-690960664c72"]}],"mendeley":{"formattedCitation":"(Kasmir, 2015)","plainTextFormattedCitation":"(Kasmir, 2015)","previouslyFormattedCitation":"(Kasmir, 2015)"},"properties":{"noteIndex":0},"schema":"https://github.com/citation-style-language/schema/raw/master/csl-citation.json"}</w:instrText>
      </w:r>
      <w:r w:rsidRPr="00121858">
        <w:rPr>
          <w:szCs w:val="24"/>
        </w:rPr>
        <w:fldChar w:fldCharType="separate"/>
      </w:r>
      <w:r w:rsidRPr="00121858">
        <w:rPr>
          <w:noProof/>
          <w:szCs w:val="24"/>
        </w:rPr>
        <w:t>(Kasmir, 2015)</w:t>
      </w:r>
      <w:r w:rsidRPr="00121858">
        <w:rPr>
          <w:szCs w:val="24"/>
        </w:rPr>
        <w:fldChar w:fldCharType="end"/>
      </w:r>
    </w:p>
    <w:p w:rsidR="00121858" w:rsidRDefault="00121858" w:rsidP="00121858">
      <w:pPr>
        <w:pStyle w:val="ListParagraph"/>
        <w:ind w:firstLine="284"/>
        <w:rPr>
          <w:szCs w:val="24"/>
          <w:lang w:val="id-ID"/>
        </w:rPr>
      </w:pPr>
      <w:r w:rsidRPr="00121858">
        <w:rPr>
          <w:szCs w:val="24"/>
        </w:rPr>
        <w:t xml:space="preserve">Agar usaha dapat berjalan perusahaan dapat memantau perkembanagan setiap </w:t>
      </w:r>
      <w:r w:rsidRPr="00121858">
        <w:rPr>
          <w:szCs w:val="24"/>
        </w:rPr>
        <w:lastRenderedPageBreak/>
        <w:t xml:space="preserve">perusahaan mampu membuat catatan, pembukuan, dan laporan terhadap semua kegiatan usahnya, dan juga harus mengetahui berapa uang yang masuk dan keluar selama periode tertentu dibuat dalam bentuk laporan keuangan, pembutan keuangan di sesuaikan dengan kaidah keuangan yang berlaku agar mampu menujukan kondisi dan posisi keuangan yang sesunggunya. </w:t>
      </w:r>
      <w:proofErr w:type="gramStart"/>
      <w:r w:rsidRPr="00121858">
        <w:rPr>
          <w:szCs w:val="24"/>
        </w:rPr>
        <w:t>Alat analisis keuangan yang bisa digunakan ialah rasio keuangan seperti rasio solvabilitas.</w:t>
      </w:r>
      <w:proofErr w:type="gramEnd"/>
      <w:r w:rsidRPr="00121858">
        <w:rPr>
          <w:szCs w:val="24"/>
        </w:rPr>
        <w:t xml:space="preserve"> </w:t>
      </w:r>
      <w:proofErr w:type="gramStart"/>
      <w:r w:rsidRPr="00121858">
        <w:rPr>
          <w:szCs w:val="24"/>
        </w:rPr>
        <w:t>Rasio solvabilitas adalah rasio yang digunakan untuk mengukur sejauh mana aktiva perusahaan di biayai oleh hutang.</w:t>
      </w:r>
      <w:proofErr w:type="gramEnd"/>
      <w:r w:rsidRPr="00121858">
        <w:rPr>
          <w:szCs w:val="24"/>
        </w:rPr>
        <w:t xml:space="preserve"> </w:t>
      </w:r>
      <w:proofErr w:type="gramStart"/>
      <w:r w:rsidRPr="00121858">
        <w:rPr>
          <w:szCs w:val="24"/>
        </w:rPr>
        <w:t>Artinya seberapa berat beban utang yang ditanggung perusahaan dibandingkan dalam aktivanya.</w:t>
      </w:r>
      <w:proofErr w:type="gramEnd"/>
      <w:r w:rsidRPr="00121858">
        <w:rPr>
          <w:szCs w:val="24"/>
        </w:rPr>
        <w:t xml:space="preserve"> </w:t>
      </w:r>
      <w:proofErr w:type="gramStart"/>
      <w:r w:rsidRPr="00121858">
        <w:rPr>
          <w:szCs w:val="24"/>
        </w:rPr>
        <w:t>Biasanya penggunaan rasio solvabilitas disesuaikan dengan tujuan perusahaan.</w:t>
      </w:r>
      <w:proofErr w:type="gramEnd"/>
      <w:r w:rsidRPr="00121858">
        <w:rPr>
          <w:szCs w:val="24"/>
        </w:rPr>
        <w:t xml:space="preserve"> </w:t>
      </w:r>
      <w:proofErr w:type="gramStart"/>
      <w:r w:rsidRPr="00121858">
        <w:rPr>
          <w:szCs w:val="24"/>
        </w:rPr>
        <w:t>Artinya perusahaan dapat menggunakan rasio ini secara keseluruhan atau sebagian dari jenis rasio yang ada.</w:t>
      </w:r>
      <w:proofErr w:type="gramEnd"/>
      <w:r w:rsidRPr="00121858">
        <w:rPr>
          <w:szCs w:val="24"/>
        </w:rPr>
        <w:t xml:space="preserve"> </w:t>
      </w:r>
      <w:proofErr w:type="gramStart"/>
      <w:r w:rsidRPr="00121858">
        <w:rPr>
          <w:szCs w:val="24"/>
        </w:rPr>
        <w:t>Penggunaan rasio secara keseluruhan, artinya seluruh jenis rasio yang dimiliki perusahaan, sedangkan sebagian perusahaan hanya menggunakan beberapa jenis rasio yang dianggap perlu diketahui.</w:t>
      </w:r>
      <w:proofErr w:type="gramEnd"/>
    </w:p>
    <w:p w:rsidR="00121858" w:rsidRPr="00791B13" w:rsidRDefault="00121858" w:rsidP="00121858">
      <w:pPr>
        <w:pStyle w:val="ListParagraph"/>
        <w:ind w:firstLine="284"/>
        <w:rPr>
          <w:lang w:val="id-ID"/>
        </w:rPr>
      </w:pPr>
      <w:r w:rsidRPr="00791B13">
        <w:t>Didalam rasio solvabilitas kita dapat menemukan rasio-rasio, rasio itu merupakan Debt To Asset Ratio (DAR), Debt To Equity Ratio (DER), Long Trem Debt To Equity Ratio (LtDTER), rasio-rasio ini merupakan rasio yang menunjukan kemampuan perusahaan untuk membayar seluruh kewajibannya, baik jangaka pendek maupun jangka panjang.</w:t>
      </w:r>
    </w:p>
    <w:p w:rsidR="00121858" w:rsidRPr="00791B13" w:rsidRDefault="00121858" w:rsidP="00121858">
      <w:pPr>
        <w:pStyle w:val="ListParagraph"/>
        <w:ind w:firstLine="284"/>
        <w:rPr>
          <w:lang w:val="id-ID"/>
        </w:rPr>
      </w:pPr>
      <w:r w:rsidRPr="00791B13">
        <w:rPr>
          <w:lang w:val="id-ID"/>
        </w:rPr>
        <w:t>R</w:t>
      </w:r>
      <w:r w:rsidRPr="00791B13">
        <w:t xml:space="preserve">asio profitabilitas kita dapat menemukan rasio-rasio, rasio merupakan Return On Asset (ROA), Return On Equity (ROE), rasio-rasio ini merupakan rasio yang menunjukan kemampuan perusahaan untuk menghasilkan laba selama priode tertentu. </w:t>
      </w:r>
    </w:p>
    <w:p w:rsidR="00791B13" w:rsidRDefault="00791B13" w:rsidP="00121858">
      <w:pPr>
        <w:pStyle w:val="ListParagraph"/>
        <w:ind w:firstLine="284"/>
        <w:rPr>
          <w:lang w:val="id-ID"/>
        </w:rPr>
      </w:pPr>
    </w:p>
    <w:p w:rsidR="00791B13" w:rsidRDefault="00791B13" w:rsidP="00121858">
      <w:pPr>
        <w:pStyle w:val="ListParagraph"/>
        <w:ind w:firstLine="284"/>
        <w:rPr>
          <w:lang w:val="id-ID"/>
        </w:rPr>
      </w:pPr>
    </w:p>
    <w:p w:rsidR="00791B13" w:rsidRDefault="00791B13" w:rsidP="00121858">
      <w:pPr>
        <w:pStyle w:val="ListParagraph"/>
        <w:ind w:firstLine="284"/>
        <w:rPr>
          <w:lang w:val="id-ID"/>
        </w:rPr>
      </w:pPr>
    </w:p>
    <w:p w:rsidR="00791B13" w:rsidRDefault="00791B13" w:rsidP="00121858">
      <w:pPr>
        <w:pStyle w:val="ListParagraph"/>
        <w:ind w:firstLine="284"/>
        <w:rPr>
          <w:lang w:val="id-ID"/>
        </w:rPr>
      </w:pPr>
    </w:p>
    <w:p w:rsidR="00791B13" w:rsidRPr="00791B13" w:rsidRDefault="00121858" w:rsidP="00791B13">
      <w:pPr>
        <w:pStyle w:val="ListParagraph"/>
        <w:ind w:firstLine="284"/>
        <w:rPr>
          <w:lang w:val="id-ID"/>
        </w:rPr>
      </w:pPr>
      <w:r w:rsidRPr="00791B13">
        <w:lastRenderedPageBreak/>
        <w:t>Berikut ini adalah total utang Bengkel LA (Linggau Advertising) tahun 2016/2020</w:t>
      </w:r>
    </w:p>
    <w:p w:rsidR="00121858" w:rsidRPr="006455E5" w:rsidRDefault="004E124A" w:rsidP="00121858">
      <w:pPr>
        <w:pStyle w:val="ListParagraph"/>
        <w:jc w:val="center"/>
        <w:rPr>
          <w:sz w:val="20"/>
        </w:rPr>
      </w:pPr>
      <w:r w:rsidRPr="006455E5">
        <w:rPr>
          <w:b/>
          <w:sz w:val="20"/>
        </w:rPr>
        <w:t>Tabel 1</w:t>
      </w:r>
      <w:r w:rsidRPr="006455E5">
        <w:rPr>
          <w:b/>
          <w:sz w:val="20"/>
          <w:lang w:val="id-ID"/>
        </w:rPr>
        <w:t xml:space="preserve"> </w:t>
      </w:r>
      <w:r w:rsidR="00121858" w:rsidRPr="006455E5">
        <w:rPr>
          <w:b/>
          <w:sz w:val="20"/>
        </w:rPr>
        <w:t>Laporan Keuangan Bengkel LA (Linggau Advertising)</w:t>
      </w:r>
    </w:p>
    <w:p w:rsidR="00121858" w:rsidRPr="00791B13" w:rsidRDefault="00E76AAC" w:rsidP="00121858">
      <w:pPr>
        <w:rPr>
          <w:sz w:val="22"/>
          <w:szCs w:val="22"/>
          <w:lang w:val="id-ID"/>
        </w:rPr>
      </w:pPr>
      <w:r w:rsidRPr="00791B13">
        <w:rPr>
          <w:sz w:val="22"/>
          <w:szCs w:val="22"/>
        </w:rPr>
        <w:object w:dxaOrig="10306" w:dyaOrig="2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95.25pt" o:ole="">
            <v:imagedata r:id="rId16" o:title=""/>
          </v:shape>
          <o:OLEObject Type="Embed" ProgID="Excel.Sheet.12" ShapeID="_x0000_i1025" DrawAspect="Content" ObjectID="_1714072218" r:id="rId17"/>
        </w:object>
      </w:r>
      <w:proofErr w:type="gramStart"/>
      <w:r w:rsidR="00121858" w:rsidRPr="00791B13">
        <w:rPr>
          <w:sz w:val="22"/>
          <w:szCs w:val="22"/>
        </w:rPr>
        <w:t>sumber</w:t>
      </w:r>
      <w:proofErr w:type="gramEnd"/>
      <w:r w:rsidR="00121858" w:rsidRPr="00791B13">
        <w:rPr>
          <w:sz w:val="22"/>
          <w:szCs w:val="22"/>
        </w:rPr>
        <w:t>: laporan keuangan Bengkel</w:t>
      </w:r>
      <w:r w:rsidR="00121858" w:rsidRPr="00791B13">
        <w:rPr>
          <w:sz w:val="22"/>
          <w:szCs w:val="22"/>
          <w:lang w:val="id-ID"/>
        </w:rPr>
        <w:t xml:space="preserve"> </w:t>
      </w:r>
      <w:r w:rsidR="00121858" w:rsidRPr="00791B13">
        <w:rPr>
          <w:sz w:val="22"/>
          <w:szCs w:val="22"/>
        </w:rPr>
        <w:t>LA</w:t>
      </w:r>
    </w:p>
    <w:p w:rsidR="00121858" w:rsidRPr="00791B13" w:rsidRDefault="00121858" w:rsidP="00121858">
      <w:pPr>
        <w:ind w:firstLine="284"/>
        <w:jc w:val="both"/>
        <w:rPr>
          <w:sz w:val="22"/>
          <w:szCs w:val="22"/>
          <w:lang w:val="id-ID"/>
        </w:rPr>
      </w:pPr>
      <w:r w:rsidRPr="00791B13">
        <w:rPr>
          <w:sz w:val="22"/>
          <w:szCs w:val="22"/>
        </w:rPr>
        <w:t>Berdasarkan data diatas total utang pada tahun 2016 sebesar 103.455.000 sedangkan pada tahun 2017 total meningkat menjadi Rp 107.575.000 pada tahun 2018 total aset mengalami kenaikan sedikit dari tahun sebelumnya sebesar Rp 107.677.000 pada tahun 2019 total utang meningkat kembali menjadi Rp. 113.870.000 sedangkan pada tahun 2020 total utang mengalami penurunan dikarenakan pendapatan pemesanan dari konsumen berkurang  akibat pandemi covid 19 sehingga biaya operasional dan bahan baku  menjadi menurun sebesar Rp102.905.000</w:t>
      </w:r>
    </w:p>
    <w:p w:rsidR="00121858" w:rsidRPr="00791B13" w:rsidRDefault="00121858" w:rsidP="00121858">
      <w:pPr>
        <w:ind w:firstLine="284"/>
        <w:jc w:val="both"/>
        <w:rPr>
          <w:sz w:val="22"/>
          <w:szCs w:val="22"/>
          <w:lang w:val="id-ID"/>
        </w:rPr>
      </w:pPr>
      <w:r w:rsidRPr="00791B13">
        <w:rPr>
          <w:sz w:val="22"/>
          <w:szCs w:val="22"/>
        </w:rPr>
        <w:t>Berdasarkan data diatas total asset pada tahun 2016 Rp 329.135.000 sedangkan pada tahun 2017 total asset meningkat menjadi Rp 331.505.000 pada tahun 2018 total asset meningkat sebesar Rp 333.973.000 setelah itu pada tahun 2019 total asset meningkat kembali menjadi Rp 350.613.000 sedangkan ditahun 2020 total aset mengalami penurunan akibat pendapatan bengkel menurun akibat pandemi covid 19 menjadi Rp 316.923.000.</w:t>
      </w:r>
    </w:p>
    <w:p w:rsidR="00E76AAC" w:rsidRPr="00E76AAC" w:rsidRDefault="00121858" w:rsidP="00E76AAC">
      <w:pPr>
        <w:ind w:firstLine="284"/>
        <w:jc w:val="both"/>
        <w:rPr>
          <w:sz w:val="24"/>
          <w:szCs w:val="24"/>
          <w:lang w:val="id-ID"/>
        </w:rPr>
        <w:sectPr w:rsidR="00E76AAC" w:rsidRPr="00E76AAC" w:rsidSect="00F473F0">
          <w:footerReference w:type="default" r:id="rId18"/>
          <w:headerReference w:type="first" r:id="rId19"/>
          <w:footerReference w:type="first" r:id="rId20"/>
          <w:type w:val="continuous"/>
          <w:pgSz w:w="11906" w:h="16838"/>
          <w:pgMar w:top="1701" w:right="1701" w:bottom="1701" w:left="1701" w:header="709" w:footer="709" w:gutter="0"/>
          <w:pgNumType w:start="1"/>
          <w:cols w:num="2" w:space="567"/>
          <w:docGrid w:linePitch="360"/>
        </w:sectPr>
      </w:pPr>
      <w:r w:rsidRPr="00791B13">
        <w:rPr>
          <w:sz w:val="22"/>
          <w:szCs w:val="22"/>
        </w:rPr>
        <w:t>Total ekuitas pada tahun 2016 sebesar Rp 225.680.000 pada tahun 2017 total ekuitas mengalami penurunan menjadi Rp 223.730.000 pada tahun 2018 total ekuitas meningkat menjadi Rp 226.260.000 pada tahun 2019 total ekuitas meningkat</w:t>
      </w:r>
      <w:r w:rsidR="00E76AAC" w:rsidRPr="00791B13">
        <w:rPr>
          <w:sz w:val="22"/>
          <w:szCs w:val="22"/>
        </w:rPr>
        <w:t xml:space="preserve"> kembali menjadi Rp</w:t>
      </w:r>
      <w:r w:rsidR="00E76AAC" w:rsidRPr="00791B13">
        <w:rPr>
          <w:sz w:val="22"/>
          <w:szCs w:val="22"/>
          <w:lang w:val="id-ID"/>
        </w:rPr>
        <w:t xml:space="preserve"> </w:t>
      </w:r>
      <w:r w:rsidR="00E76AAC" w:rsidRPr="00791B13">
        <w:rPr>
          <w:sz w:val="22"/>
          <w:szCs w:val="22"/>
        </w:rPr>
        <w:t>263.743.000</w:t>
      </w:r>
      <w:r w:rsidR="00E76AAC" w:rsidRPr="00791B13">
        <w:rPr>
          <w:sz w:val="22"/>
          <w:szCs w:val="22"/>
          <w:lang w:val="id-ID"/>
        </w:rPr>
        <w:t>.</w:t>
      </w:r>
    </w:p>
    <w:p w:rsidR="002D4F25" w:rsidRPr="00E76AAC" w:rsidRDefault="002D4F25" w:rsidP="00E76AAC">
      <w:pPr>
        <w:rPr>
          <w:szCs w:val="24"/>
          <w:lang w:val="id-ID"/>
        </w:rPr>
        <w:sectPr w:rsidR="002D4F25" w:rsidRPr="00E76AAC" w:rsidSect="002D4F25">
          <w:headerReference w:type="first" r:id="rId21"/>
          <w:footerReference w:type="first" r:id="rId22"/>
          <w:pgSz w:w="11906" w:h="16838"/>
          <w:pgMar w:top="1701" w:right="1701" w:bottom="1701" w:left="2268" w:header="709" w:footer="709" w:gutter="0"/>
          <w:pgNumType w:start="2"/>
          <w:cols w:num="2" w:space="708"/>
          <w:titlePg/>
          <w:docGrid w:linePitch="360"/>
        </w:sectPr>
      </w:pPr>
    </w:p>
    <w:p w:rsidR="0090572C" w:rsidRPr="00D1293B" w:rsidRDefault="0090572C" w:rsidP="00E76AAC">
      <w:pPr>
        <w:spacing w:line="276" w:lineRule="auto"/>
        <w:contextualSpacing/>
        <w:jc w:val="both"/>
        <w:rPr>
          <w:sz w:val="22"/>
          <w:szCs w:val="22"/>
          <w:lang w:val="id-ID"/>
        </w:rPr>
        <w:sectPr w:rsidR="0090572C" w:rsidRPr="00D1293B" w:rsidSect="002D4F25">
          <w:footerReference w:type="default" r:id="rId23"/>
          <w:type w:val="continuous"/>
          <w:pgSz w:w="11906" w:h="16838" w:code="9"/>
          <w:pgMar w:top="1701" w:right="1701" w:bottom="1701" w:left="1701" w:header="850" w:footer="709" w:gutter="0"/>
          <w:cols w:num="2" w:space="567"/>
          <w:docGrid w:linePitch="360"/>
        </w:sectPr>
      </w:pPr>
    </w:p>
    <w:p w:rsidR="009B629B" w:rsidRDefault="009B629B" w:rsidP="00791B13">
      <w:pPr>
        <w:spacing w:line="276" w:lineRule="auto"/>
        <w:jc w:val="right"/>
        <w:rPr>
          <w:bCs/>
          <w:sz w:val="22"/>
        </w:rPr>
      </w:pPr>
    </w:p>
    <w:p w:rsidR="000713F1" w:rsidRDefault="000713F1" w:rsidP="000713F1">
      <w:pPr>
        <w:pStyle w:val="Heading2"/>
        <w:numPr>
          <w:ilvl w:val="0"/>
          <w:numId w:val="2"/>
        </w:numPr>
        <w:spacing w:line="276" w:lineRule="auto"/>
        <w:ind w:left="567" w:hanging="567"/>
      </w:pPr>
      <w:r>
        <w:t>METODOLOGI PENELITIAN</w:t>
      </w:r>
    </w:p>
    <w:p w:rsidR="00D1293B" w:rsidRDefault="00D1293B" w:rsidP="00D1293B">
      <w:pPr>
        <w:pBdr>
          <w:top w:val="nil"/>
          <w:left w:val="nil"/>
          <w:bottom w:val="nil"/>
          <w:right w:val="nil"/>
          <w:between w:val="nil"/>
        </w:pBdr>
        <w:spacing w:line="276" w:lineRule="auto"/>
        <w:ind w:firstLine="567"/>
        <w:jc w:val="both"/>
        <w:rPr>
          <w:sz w:val="24"/>
          <w:szCs w:val="24"/>
        </w:rPr>
        <w:sectPr w:rsidR="00D1293B" w:rsidSect="00F3473E">
          <w:type w:val="continuous"/>
          <w:pgSz w:w="11906" w:h="16838" w:code="9"/>
          <w:pgMar w:top="1701" w:right="1701" w:bottom="1701" w:left="1701" w:header="850" w:footer="709" w:gutter="0"/>
          <w:cols w:space="708"/>
          <w:docGrid w:linePitch="360"/>
        </w:sectPr>
      </w:pPr>
    </w:p>
    <w:p w:rsidR="00791B13" w:rsidRPr="00791B13" w:rsidRDefault="00791B13" w:rsidP="00791B13">
      <w:pPr>
        <w:pStyle w:val="ListParagraph"/>
        <w:ind w:firstLine="567"/>
        <w:rPr>
          <w:szCs w:val="24"/>
          <w:lang w:val="id-ID"/>
        </w:rPr>
      </w:pPr>
      <w:r w:rsidRPr="00791B13">
        <w:rPr>
          <w:szCs w:val="24"/>
        </w:rPr>
        <w:lastRenderedPageBreak/>
        <w:t xml:space="preserve">Penelitian ini merupakan penelitian kualitatif dengan judul anlisis kinerja keuangan ditinjau dari </w:t>
      </w:r>
      <w:r w:rsidRPr="00791B13">
        <w:rPr>
          <w:i/>
          <w:szCs w:val="24"/>
        </w:rPr>
        <w:t xml:space="preserve">Debt To Asset Ratio </w:t>
      </w:r>
      <w:r w:rsidRPr="00791B13">
        <w:rPr>
          <w:szCs w:val="24"/>
        </w:rPr>
        <w:t xml:space="preserve">(DAR), Debt To Equity Ratio (DER), Long Term Debt To Equity Ratio (LTDtER), Return On Assets (ROA), Return On Equity (DER). </w:t>
      </w:r>
      <w:proofErr w:type="gramStart"/>
      <w:r w:rsidRPr="00791B13">
        <w:rPr>
          <w:szCs w:val="24"/>
        </w:rPr>
        <w:t>terhadap</w:t>
      </w:r>
      <w:proofErr w:type="gramEnd"/>
      <w:r w:rsidRPr="00791B13">
        <w:rPr>
          <w:szCs w:val="24"/>
        </w:rPr>
        <w:t xml:space="preserve"> tata kelola perusahaan di Bengkel LA (Linggau Advertising) kota Lubuklinggau.metode penelitian kualitatif adalah metode penelitian yang berlandaskan pada filsafat postpositivisme, digunakan meneliti pada kondisi objek yang alamiah, dan peneliti sebagai instrumen kunci.</w:t>
      </w:r>
    </w:p>
    <w:p w:rsidR="00061DDB" w:rsidRPr="00791B13" w:rsidRDefault="00791B13" w:rsidP="00791B13">
      <w:pPr>
        <w:pStyle w:val="ListParagraph"/>
        <w:ind w:firstLine="567"/>
        <w:rPr>
          <w:szCs w:val="24"/>
          <w:lang w:val="id-ID"/>
        </w:rPr>
        <w:sectPr w:rsidR="00061DDB" w:rsidRPr="00791B13" w:rsidSect="008E6B6E">
          <w:type w:val="continuous"/>
          <w:pgSz w:w="11906" w:h="16838" w:code="9"/>
          <w:pgMar w:top="1701" w:right="1701" w:bottom="1701" w:left="1701" w:header="850" w:footer="709" w:gutter="0"/>
          <w:cols w:num="2" w:space="567"/>
          <w:docGrid w:linePitch="360"/>
        </w:sectPr>
      </w:pPr>
      <w:r w:rsidRPr="00791B13">
        <w:rPr>
          <w:szCs w:val="24"/>
        </w:rPr>
        <w:t xml:space="preserve">Rancangan penelitian merupakan alir atau acuan kegiatan penelitian yang </w:t>
      </w:r>
      <w:proofErr w:type="gramStart"/>
      <w:r w:rsidRPr="00791B13">
        <w:rPr>
          <w:szCs w:val="24"/>
        </w:rPr>
        <w:t>akan</w:t>
      </w:r>
      <w:proofErr w:type="gramEnd"/>
      <w:r w:rsidRPr="00791B13">
        <w:rPr>
          <w:szCs w:val="24"/>
        </w:rPr>
        <w:t xml:space="preserve"> dilakukan peneliti, dalam alur tersebut dapat </w:t>
      </w:r>
      <w:r w:rsidRPr="00791B13">
        <w:rPr>
          <w:szCs w:val="24"/>
        </w:rPr>
        <w:lastRenderedPageBreak/>
        <w:t xml:space="preserve">diketahui dengan jelas langka atau tahapan yang dilakukan. </w:t>
      </w:r>
      <w:proofErr w:type="gramStart"/>
      <w:r w:rsidRPr="00791B13">
        <w:rPr>
          <w:szCs w:val="24"/>
        </w:rPr>
        <w:t>Sebagai langka awal peneliti melakukan observasi awal untuk mengetahui masalah yang ada.</w:t>
      </w:r>
      <w:proofErr w:type="gramEnd"/>
      <w:r w:rsidRPr="00791B13">
        <w:rPr>
          <w:szCs w:val="24"/>
        </w:rPr>
        <w:t xml:space="preserve"> Setelah itu peneliti merumuskan masalah yang </w:t>
      </w:r>
      <w:proofErr w:type="gramStart"/>
      <w:r w:rsidRPr="00791B13">
        <w:rPr>
          <w:szCs w:val="24"/>
        </w:rPr>
        <w:t>akan</w:t>
      </w:r>
      <w:proofErr w:type="gramEnd"/>
      <w:r w:rsidRPr="00791B13">
        <w:rPr>
          <w:szCs w:val="24"/>
        </w:rPr>
        <w:t xml:space="preserve"> menjadi fokus dalam penelitian, namun masalah dalam penelitian kualitatif masih bersifat sementara dan akan berkembang setelah peneliti melakukan penelitian langsung di lapangan. </w:t>
      </w:r>
      <w:proofErr w:type="gramStart"/>
      <w:r w:rsidRPr="00791B13">
        <w:rPr>
          <w:szCs w:val="24"/>
        </w:rPr>
        <w:t>Selanjutnya peneliti melaksanankan penelitian dengan mengumpulkan data, mereduksi data, dan melakukan penyajian data sehingga dari data tersebut dapat ditarik kesimpulan, dan langka terakhir melaporkan hasil penelitian.</w:t>
      </w:r>
      <w:proofErr w:type="gramEnd"/>
    </w:p>
    <w:p w:rsidR="0048544A" w:rsidRDefault="0048544A" w:rsidP="00791B13">
      <w:pPr>
        <w:spacing w:line="276" w:lineRule="auto"/>
        <w:jc w:val="both"/>
        <w:rPr>
          <w:b/>
          <w:sz w:val="22"/>
          <w:szCs w:val="24"/>
          <w:lang w:val="id-ID"/>
        </w:rPr>
      </w:pPr>
    </w:p>
    <w:p w:rsidR="00791B13" w:rsidRDefault="00791B13" w:rsidP="00791B13">
      <w:pPr>
        <w:spacing w:line="276" w:lineRule="auto"/>
        <w:jc w:val="both"/>
        <w:rPr>
          <w:b/>
          <w:sz w:val="22"/>
          <w:szCs w:val="24"/>
          <w:lang w:val="id-ID"/>
        </w:rPr>
      </w:pPr>
      <w:r w:rsidRPr="00791B13">
        <w:rPr>
          <w:b/>
          <w:sz w:val="22"/>
          <w:szCs w:val="24"/>
          <w:lang w:val="id-ID"/>
        </w:rPr>
        <w:t>Teknik Analisis Data</w:t>
      </w:r>
    </w:p>
    <w:p w:rsidR="00791B13" w:rsidRDefault="00791B13" w:rsidP="00791B13">
      <w:pPr>
        <w:spacing w:line="276" w:lineRule="auto"/>
        <w:ind w:firstLine="567"/>
        <w:jc w:val="both"/>
        <w:rPr>
          <w:sz w:val="22"/>
          <w:szCs w:val="24"/>
          <w:lang w:val="id-ID"/>
        </w:rPr>
      </w:pPr>
      <w:r w:rsidRPr="00791B13">
        <w:rPr>
          <w:sz w:val="22"/>
          <w:szCs w:val="24"/>
        </w:rPr>
        <w:t xml:space="preserve">Dalam penelitian kualitatif ini peneliti menganalisis data keuangan dengan menggunakan </w:t>
      </w:r>
      <w:r w:rsidRPr="00791B13">
        <w:rPr>
          <w:i/>
          <w:sz w:val="22"/>
          <w:szCs w:val="24"/>
        </w:rPr>
        <w:t xml:space="preserve">Debt To Asset Ratio </w:t>
      </w:r>
      <w:r w:rsidRPr="00791B13">
        <w:rPr>
          <w:sz w:val="22"/>
          <w:szCs w:val="24"/>
        </w:rPr>
        <w:t xml:space="preserve">(DAR), </w:t>
      </w:r>
      <w:r w:rsidRPr="00791B13">
        <w:rPr>
          <w:i/>
          <w:sz w:val="22"/>
          <w:szCs w:val="24"/>
        </w:rPr>
        <w:t xml:space="preserve">Debt To Equity Ratio </w:t>
      </w:r>
      <w:r w:rsidRPr="00791B13">
        <w:rPr>
          <w:sz w:val="22"/>
          <w:szCs w:val="24"/>
        </w:rPr>
        <w:t>(DER), long term debt to equity ratio (LTDtER), Return On Asset (ROA), Return On Asset (ROE) dalam menganalisis rasio tersebut kita dapat menggunakan rumus-rumus sebagai berikut:</w:t>
      </w:r>
    </w:p>
    <w:p w:rsidR="00791B13" w:rsidRPr="00791B13" w:rsidRDefault="00791B13" w:rsidP="00791B13">
      <w:pPr>
        <w:spacing w:line="276" w:lineRule="auto"/>
        <w:ind w:firstLine="567"/>
        <w:jc w:val="both"/>
        <w:rPr>
          <w:b/>
          <w:szCs w:val="24"/>
          <w:lang w:val="id-ID"/>
        </w:rPr>
      </w:pPr>
    </w:p>
    <w:p w:rsidR="00791B13" w:rsidRDefault="00791B13" w:rsidP="00791B13">
      <w:pPr>
        <w:spacing w:after="200" w:line="276" w:lineRule="auto"/>
        <w:rPr>
          <w:b/>
          <w:sz w:val="22"/>
          <w:szCs w:val="24"/>
          <w:lang w:val="id-ID"/>
        </w:rPr>
      </w:pPr>
      <w:r w:rsidRPr="00791B13">
        <w:rPr>
          <w:b/>
          <w:i/>
          <w:sz w:val="22"/>
          <w:szCs w:val="24"/>
        </w:rPr>
        <w:t xml:space="preserve">Debt </w:t>
      </w:r>
      <w:proofErr w:type="gramStart"/>
      <w:r w:rsidRPr="00791B13">
        <w:rPr>
          <w:b/>
          <w:i/>
          <w:sz w:val="22"/>
          <w:szCs w:val="24"/>
        </w:rPr>
        <w:t>To</w:t>
      </w:r>
      <w:proofErr w:type="gramEnd"/>
      <w:r w:rsidRPr="00791B13">
        <w:rPr>
          <w:b/>
          <w:i/>
          <w:sz w:val="22"/>
          <w:szCs w:val="24"/>
        </w:rPr>
        <w:t xml:space="preserve"> Asset Ratio </w:t>
      </w:r>
      <w:r w:rsidRPr="00791B13">
        <w:rPr>
          <w:b/>
          <w:sz w:val="22"/>
          <w:szCs w:val="24"/>
        </w:rPr>
        <w:t>(DAR)</w:t>
      </w:r>
    </w:p>
    <w:p w:rsidR="00791B13" w:rsidRDefault="00791B13" w:rsidP="00791B13">
      <w:pPr>
        <w:spacing w:line="276" w:lineRule="auto"/>
        <w:ind w:firstLine="720"/>
        <w:jc w:val="both"/>
        <w:rPr>
          <w:b/>
          <w:sz w:val="22"/>
          <w:szCs w:val="24"/>
          <w:lang w:val="id-ID"/>
        </w:rPr>
      </w:pPr>
      <w:r w:rsidRPr="00791B13">
        <w:rPr>
          <w:i/>
          <w:sz w:val="22"/>
          <w:szCs w:val="24"/>
        </w:rPr>
        <w:t>Debt Rasio</w:t>
      </w:r>
      <w:r w:rsidRPr="00791B13">
        <w:rPr>
          <w:sz w:val="22"/>
          <w:szCs w:val="24"/>
        </w:rPr>
        <w:t xml:space="preserve"> merupakan rasio utang yang digunakan untuk mengukur perbandingan antara total utang dengan total aktiva. Dengan kata </w:t>
      </w:r>
      <w:proofErr w:type="gramStart"/>
      <w:r w:rsidRPr="00791B13">
        <w:rPr>
          <w:sz w:val="22"/>
          <w:szCs w:val="24"/>
        </w:rPr>
        <w:t>lain</w:t>
      </w:r>
      <w:proofErr w:type="gramEnd"/>
      <w:r w:rsidRPr="00791B13">
        <w:rPr>
          <w:sz w:val="22"/>
          <w:szCs w:val="24"/>
        </w:rPr>
        <w:t>, seberapa besar aktiva perusahaan dibiayai oleh utang atau seberapa besar utang perusahaan berpengaruh terhadap pengelolaan aktiva.</w:t>
      </w:r>
    </w:p>
    <w:p w:rsidR="00791B13" w:rsidRDefault="00791B13" w:rsidP="00791B13">
      <w:pPr>
        <w:spacing w:line="276" w:lineRule="auto"/>
        <w:jc w:val="both"/>
        <w:rPr>
          <w:sz w:val="22"/>
          <w:szCs w:val="24"/>
          <w:lang w:val="id-ID"/>
        </w:rPr>
      </w:pPr>
      <w:r w:rsidRPr="00791B13">
        <w:rPr>
          <w:sz w:val="22"/>
          <w:szCs w:val="24"/>
        </w:rPr>
        <w:t>Rumus untuk mencari Debt Ratio dapat digunakan sebagai berikut:</w:t>
      </w:r>
    </w:p>
    <w:p w:rsidR="00791B13" w:rsidRPr="00791B13" w:rsidRDefault="00791B13" w:rsidP="00791B13">
      <w:pPr>
        <w:pStyle w:val="ListParagraph"/>
        <w:ind w:left="780"/>
        <w:rPr>
          <w:b/>
          <w:szCs w:val="24"/>
        </w:rPr>
      </w:pPr>
      <m:oMath>
        <m:r>
          <m:rPr>
            <m:sty m:val="bi"/>
          </m:rPr>
          <w:rPr>
            <w:rFonts w:ascii="Cambria Math" w:hAnsi="Cambria Math"/>
            <w:szCs w:val="24"/>
          </w:rPr>
          <m:t>Debt To Asset Ratio</m:t>
        </m:r>
        <m:r>
          <m:rPr>
            <m:sty m:val="b"/>
          </m:rPr>
          <w:rPr>
            <w:rFonts w:ascii="Cambria Math" w:hAnsi="Cambria Math" w:cs="Cambria Math"/>
            <w:szCs w:val="24"/>
          </w:rPr>
          <m:t>=</m:t>
        </m:r>
        <m:f>
          <m:fPr>
            <m:ctrlPr>
              <w:rPr>
                <w:rFonts w:ascii="Cambria Math" w:hAnsi="Cambria Math"/>
                <w:b/>
                <w:szCs w:val="24"/>
              </w:rPr>
            </m:ctrlPr>
          </m:fPr>
          <m:num>
            <m:r>
              <m:rPr>
                <m:sty m:val="b"/>
              </m:rPr>
              <w:rPr>
                <w:rFonts w:ascii="Cambria Math" w:hAnsi="Cambria Math" w:cs="Cambria Math"/>
                <w:szCs w:val="24"/>
              </w:rPr>
              <m:t>total hutang</m:t>
            </m:r>
          </m:num>
          <m:den>
            <m:r>
              <m:rPr>
                <m:sty m:val="b"/>
              </m:rPr>
              <w:rPr>
                <w:rFonts w:ascii="Cambria Math" w:hAnsi="Cambria Math" w:cs="Cambria Math"/>
                <w:szCs w:val="24"/>
              </w:rPr>
              <m:t>Total Asset</m:t>
            </m:r>
          </m:den>
        </m:f>
        <m:r>
          <m:rPr>
            <m:sty m:val="bi"/>
          </m:rPr>
          <w:rPr>
            <w:rFonts w:ascii="Cambria Math" w:eastAsiaTheme="minorEastAsia" w:hAnsi="Cambria Math"/>
            <w:szCs w:val="24"/>
          </w:rPr>
          <m:t>×100</m:t>
        </m:r>
        <m:r>
          <m:rPr>
            <m:sty m:val="bi"/>
          </m:rPr>
          <w:rPr>
            <w:rFonts w:ascii="Cambria Math" w:eastAsiaTheme="minorEastAsia" w:hAnsi="Cambria Math"/>
            <w:szCs w:val="24"/>
          </w:rPr>
          <m:t>%</m:t>
        </m:r>
      </m:oMath>
      <w:r>
        <w:rPr>
          <w:b/>
          <w:szCs w:val="24"/>
        </w:rPr>
        <w:t xml:space="preserve"> </w:t>
      </w:r>
    </w:p>
    <w:p w:rsidR="00791B13" w:rsidRPr="00791B13" w:rsidRDefault="00791B13" w:rsidP="00791B13">
      <w:pPr>
        <w:spacing w:line="276" w:lineRule="auto"/>
        <w:jc w:val="both"/>
        <w:rPr>
          <w:b/>
          <w:sz w:val="24"/>
          <w:szCs w:val="24"/>
          <w:lang w:val="id-ID"/>
        </w:rPr>
      </w:pPr>
    </w:p>
    <w:p w:rsidR="00791B13" w:rsidRPr="00791B13" w:rsidRDefault="00791B13" w:rsidP="00791B13">
      <w:pPr>
        <w:spacing w:after="200"/>
        <w:rPr>
          <w:b/>
          <w:szCs w:val="24"/>
          <w:lang w:val="id-ID"/>
        </w:rPr>
      </w:pPr>
    </w:p>
    <w:p w:rsidR="00791B13" w:rsidRDefault="00791B13" w:rsidP="00791B13">
      <w:pPr>
        <w:spacing w:after="200"/>
        <w:rPr>
          <w:b/>
          <w:szCs w:val="24"/>
          <w:lang w:val="id-ID"/>
        </w:rPr>
      </w:pPr>
      <w:r w:rsidRPr="00791B13">
        <w:rPr>
          <w:b/>
          <w:i/>
          <w:sz w:val="22"/>
          <w:szCs w:val="24"/>
        </w:rPr>
        <w:t xml:space="preserve">Debt </w:t>
      </w:r>
      <w:proofErr w:type="gramStart"/>
      <w:r w:rsidRPr="00791B13">
        <w:rPr>
          <w:b/>
          <w:i/>
          <w:sz w:val="22"/>
          <w:szCs w:val="24"/>
        </w:rPr>
        <w:t>To</w:t>
      </w:r>
      <w:proofErr w:type="gramEnd"/>
      <w:r w:rsidRPr="00791B13">
        <w:rPr>
          <w:b/>
          <w:i/>
          <w:sz w:val="22"/>
          <w:szCs w:val="24"/>
        </w:rPr>
        <w:t xml:space="preserve"> Equity Ratio </w:t>
      </w:r>
      <w:r w:rsidRPr="00791B13">
        <w:rPr>
          <w:b/>
          <w:sz w:val="22"/>
          <w:szCs w:val="24"/>
        </w:rPr>
        <w:t>(DER)</w:t>
      </w:r>
    </w:p>
    <w:p w:rsidR="00791B13" w:rsidRPr="00791B13" w:rsidRDefault="00791B13" w:rsidP="00791B13">
      <w:pPr>
        <w:spacing w:after="200" w:line="276" w:lineRule="auto"/>
        <w:ind w:firstLine="720"/>
        <w:jc w:val="both"/>
        <w:rPr>
          <w:b/>
          <w:sz w:val="24"/>
          <w:szCs w:val="24"/>
          <w:lang w:val="id-ID"/>
        </w:rPr>
      </w:pPr>
      <w:proofErr w:type="gramStart"/>
      <w:r w:rsidRPr="00791B13">
        <w:rPr>
          <w:i/>
          <w:sz w:val="22"/>
          <w:szCs w:val="24"/>
        </w:rPr>
        <w:t>Debt to equity ratio</w:t>
      </w:r>
      <w:r w:rsidRPr="00791B13">
        <w:rPr>
          <w:sz w:val="22"/>
          <w:szCs w:val="24"/>
        </w:rPr>
        <w:t xml:space="preserve"> merupakan ratio yang digunakan untuk menilai utang dengan ekiitas.</w:t>
      </w:r>
      <w:proofErr w:type="gramEnd"/>
      <w:r w:rsidRPr="00791B13">
        <w:rPr>
          <w:sz w:val="22"/>
          <w:szCs w:val="24"/>
        </w:rPr>
        <w:t xml:space="preserve"> Rasio ini dicari dengan </w:t>
      </w:r>
      <w:proofErr w:type="gramStart"/>
      <w:r w:rsidRPr="00791B13">
        <w:rPr>
          <w:sz w:val="22"/>
          <w:szCs w:val="24"/>
        </w:rPr>
        <w:t>cara</w:t>
      </w:r>
      <w:proofErr w:type="gramEnd"/>
      <w:r w:rsidRPr="00791B13">
        <w:rPr>
          <w:sz w:val="22"/>
          <w:szCs w:val="24"/>
        </w:rPr>
        <w:t xml:space="preserve"> membandingkan antara seluruh utang, termasuk utang lancar dengan seluruh ekuitas. </w:t>
      </w:r>
      <w:proofErr w:type="gramStart"/>
      <w:r w:rsidRPr="00791B13">
        <w:rPr>
          <w:sz w:val="22"/>
          <w:szCs w:val="24"/>
        </w:rPr>
        <w:t>Rasio ini berguna untuk melihat seberapa baik permodalan yang ada diperusahaan.</w:t>
      </w:r>
      <w:proofErr w:type="gramEnd"/>
      <w:r w:rsidRPr="00791B13">
        <w:rPr>
          <w:sz w:val="22"/>
          <w:szCs w:val="24"/>
        </w:rPr>
        <w:t xml:space="preserve"> </w:t>
      </w:r>
      <w:proofErr w:type="gramStart"/>
      <w:r w:rsidRPr="00791B13">
        <w:rPr>
          <w:sz w:val="22"/>
          <w:szCs w:val="24"/>
        </w:rPr>
        <w:t>DER menunjukan kemampuan perusahaan untuk membayar hutangnya dengan menggunakan modal yang telah dimiliki.</w:t>
      </w:r>
      <w:proofErr w:type="gramEnd"/>
      <w:r>
        <w:rPr>
          <w:sz w:val="22"/>
          <w:szCs w:val="24"/>
          <w:lang w:val="id-ID"/>
        </w:rPr>
        <w:t xml:space="preserve"> </w:t>
      </w:r>
      <w:r w:rsidRPr="00791B13">
        <w:rPr>
          <w:sz w:val="22"/>
          <w:szCs w:val="24"/>
        </w:rPr>
        <w:t xml:space="preserve">Rumus untuk mencari Debt </w:t>
      </w:r>
      <w:proofErr w:type="gramStart"/>
      <w:r w:rsidRPr="00791B13">
        <w:rPr>
          <w:sz w:val="22"/>
          <w:szCs w:val="24"/>
        </w:rPr>
        <w:t>To</w:t>
      </w:r>
      <w:proofErr w:type="gramEnd"/>
      <w:r w:rsidRPr="00791B13">
        <w:rPr>
          <w:sz w:val="22"/>
          <w:szCs w:val="24"/>
        </w:rPr>
        <w:t xml:space="preserve"> Equity Rasio dapat digunakan sebagai berikut:</w:t>
      </w:r>
    </w:p>
    <w:p w:rsidR="00791B13" w:rsidRPr="00791B13" w:rsidRDefault="00791B13" w:rsidP="00791B13">
      <w:pPr>
        <w:pStyle w:val="ListParagraph"/>
        <w:ind w:left="851" w:firstLine="567"/>
        <w:jc w:val="center"/>
        <w:rPr>
          <w:rFonts w:eastAsiaTheme="minorEastAsia"/>
          <w:b/>
          <w:szCs w:val="24"/>
        </w:rPr>
      </w:pPr>
      <m:oMathPara>
        <m:oMath>
          <m:r>
            <m:rPr>
              <m:sty m:val="bi"/>
            </m:rPr>
            <w:rPr>
              <w:rFonts w:ascii="Cambria Math" w:hAnsi="Cambria Math" w:cs="Cambria Math"/>
              <w:szCs w:val="24"/>
            </w:rPr>
            <m:t>Debt Equity Ratio</m:t>
          </m:r>
          <m:r>
            <m:rPr>
              <m:sty m:val="b"/>
            </m:rPr>
            <w:rPr>
              <w:rFonts w:ascii="Cambria Math" w:hAnsi="Cambria Math" w:cs="Cambria Math"/>
              <w:szCs w:val="24"/>
            </w:rPr>
            <m:t>=</m:t>
          </m:r>
          <m:f>
            <m:fPr>
              <m:ctrlPr>
                <w:rPr>
                  <w:rFonts w:ascii="Cambria Math" w:hAnsi="Cambria Math"/>
                  <w:b/>
                  <w:szCs w:val="24"/>
                </w:rPr>
              </m:ctrlPr>
            </m:fPr>
            <m:num>
              <m:r>
                <m:rPr>
                  <m:sty m:val="b"/>
                </m:rPr>
                <w:rPr>
                  <w:rFonts w:ascii="Cambria Math" w:hAnsi="Cambria Math" w:cs="Cambria Math"/>
                  <w:szCs w:val="24"/>
                </w:rPr>
                <m:t>Total Hutang</m:t>
              </m:r>
            </m:num>
            <m:den>
              <m:r>
                <m:rPr>
                  <m:sty m:val="bi"/>
                </m:rPr>
                <w:rPr>
                  <w:rFonts w:ascii="Cambria Math" w:hAnsi="Cambria Math" w:cs="Cambria Math"/>
                  <w:szCs w:val="24"/>
                </w:rPr>
                <m:t>Total Ekuitas</m:t>
              </m:r>
            </m:den>
          </m:f>
          <m:r>
            <m:rPr>
              <m:sty m:val="bi"/>
            </m:rPr>
            <w:rPr>
              <w:rFonts w:ascii="Cambria Math" w:hAnsi="Cambria Math"/>
              <w:szCs w:val="24"/>
            </w:rPr>
            <m:t>×100%</m:t>
          </m:r>
        </m:oMath>
      </m:oMathPara>
    </w:p>
    <w:p w:rsidR="00791B13" w:rsidRPr="00791B13" w:rsidRDefault="00791B13" w:rsidP="00791B13">
      <w:pPr>
        <w:pStyle w:val="ListParagraph"/>
        <w:ind w:left="851" w:firstLine="567"/>
        <w:jc w:val="center"/>
        <w:rPr>
          <w:rFonts w:eastAsiaTheme="minorEastAsia"/>
          <w:b/>
          <w:szCs w:val="24"/>
        </w:rPr>
      </w:pPr>
    </w:p>
    <w:p w:rsidR="00791B13" w:rsidRDefault="00791B13" w:rsidP="00791B13">
      <w:pPr>
        <w:rPr>
          <w:b/>
          <w:sz w:val="22"/>
          <w:szCs w:val="24"/>
          <w:lang w:val="id-ID"/>
        </w:rPr>
      </w:pPr>
      <w:r w:rsidRPr="00791B13">
        <w:rPr>
          <w:b/>
          <w:i/>
          <w:sz w:val="22"/>
          <w:szCs w:val="24"/>
        </w:rPr>
        <w:t xml:space="preserve">Long Trem Debt </w:t>
      </w:r>
      <w:proofErr w:type="gramStart"/>
      <w:r w:rsidRPr="00791B13">
        <w:rPr>
          <w:b/>
          <w:i/>
          <w:sz w:val="22"/>
          <w:szCs w:val="24"/>
        </w:rPr>
        <w:t>To</w:t>
      </w:r>
      <w:proofErr w:type="gramEnd"/>
      <w:r w:rsidRPr="00791B13">
        <w:rPr>
          <w:b/>
          <w:i/>
          <w:sz w:val="22"/>
          <w:szCs w:val="24"/>
        </w:rPr>
        <w:t xml:space="preserve"> Equity Ratio</w:t>
      </w:r>
      <w:r w:rsidRPr="00791B13">
        <w:rPr>
          <w:b/>
          <w:sz w:val="22"/>
          <w:szCs w:val="24"/>
        </w:rPr>
        <w:t xml:space="preserve"> (LTDtER)</w:t>
      </w:r>
    </w:p>
    <w:p w:rsidR="004E124A" w:rsidRPr="004E124A" w:rsidRDefault="004E124A" w:rsidP="00791B13">
      <w:pPr>
        <w:rPr>
          <w:b/>
          <w:sz w:val="22"/>
          <w:szCs w:val="24"/>
          <w:lang w:val="id-ID"/>
        </w:rPr>
      </w:pPr>
    </w:p>
    <w:p w:rsidR="00791B13" w:rsidRPr="00791B13" w:rsidRDefault="00791B13" w:rsidP="00791B13">
      <w:pPr>
        <w:spacing w:line="276" w:lineRule="auto"/>
        <w:ind w:firstLine="720"/>
        <w:jc w:val="both"/>
        <w:rPr>
          <w:b/>
          <w:sz w:val="22"/>
          <w:szCs w:val="24"/>
          <w:lang w:val="id-ID"/>
        </w:rPr>
      </w:pPr>
      <w:proofErr w:type="gramStart"/>
      <w:r w:rsidRPr="00791B13">
        <w:rPr>
          <w:sz w:val="22"/>
          <w:szCs w:val="24"/>
        </w:rPr>
        <w:lastRenderedPageBreak/>
        <w:t>LTDtER merupakan rasio antara utang jangka panjang dengan modal sendiri.</w:t>
      </w:r>
      <w:proofErr w:type="gramEnd"/>
      <w:r w:rsidRPr="00791B13">
        <w:rPr>
          <w:sz w:val="22"/>
          <w:szCs w:val="24"/>
        </w:rPr>
        <w:t xml:space="preserve"> Tujuanya adalah untuk mengukur berapa bagian dari setiap rupiah modal sendiri yang dijadikan jaminan utang jangka panjang dengan </w:t>
      </w:r>
      <w:proofErr w:type="gramStart"/>
      <w:r w:rsidRPr="00791B13">
        <w:rPr>
          <w:sz w:val="22"/>
          <w:szCs w:val="24"/>
        </w:rPr>
        <w:t>cara</w:t>
      </w:r>
      <w:proofErr w:type="gramEnd"/>
      <w:r w:rsidRPr="00791B13">
        <w:rPr>
          <w:sz w:val="22"/>
          <w:szCs w:val="24"/>
        </w:rPr>
        <w:t xml:space="preserve"> membandingkan antara utang jangka panjang dengan modal sendiri yang disediakan oleh perusahaan.</w:t>
      </w:r>
      <w:r>
        <w:rPr>
          <w:sz w:val="22"/>
          <w:szCs w:val="24"/>
          <w:lang w:val="id-ID"/>
        </w:rPr>
        <w:t xml:space="preserve"> </w:t>
      </w:r>
    </w:p>
    <w:p w:rsidR="00791B13" w:rsidRPr="00791B13" w:rsidRDefault="00791B13" w:rsidP="00791B13">
      <w:pPr>
        <w:spacing w:line="276" w:lineRule="auto"/>
        <w:ind w:firstLine="851"/>
        <w:jc w:val="both"/>
        <w:rPr>
          <w:rFonts w:eastAsiaTheme="minorEastAsia"/>
          <w:b/>
          <w:sz w:val="22"/>
          <w:szCs w:val="24"/>
        </w:rPr>
      </w:pPr>
      <m:oMathPara>
        <m:oMath>
          <m:r>
            <m:rPr>
              <m:sty m:val="bi"/>
            </m:rPr>
            <w:rPr>
              <w:rFonts w:ascii="Cambria Math" w:hAnsi="Cambria Math" w:cs="Cambria Math"/>
              <w:szCs w:val="24"/>
            </w:rPr>
            <m:t>Long Trem Debt To Equity Ratio</m:t>
          </m:r>
          <m:r>
            <m:rPr>
              <m:sty m:val="b"/>
            </m:rPr>
            <w:rPr>
              <w:rFonts w:ascii="Cambria Math" w:hAnsi="Cambria Math" w:cs="Cambria Math"/>
              <w:szCs w:val="24"/>
            </w:rPr>
            <m:t>=</m:t>
          </m:r>
          <m:f>
            <m:fPr>
              <m:ctrlPr>
                <w:rPr>
                  <w:rFonts w:ascii="Cambria Math" w:hAnsi="Cambria Math"/>
                  <w:b/>
                  <w:szCs w:val="24"/>
                </w:rPr>
              </m:ctrlPr>
            </m:fPr>
            <m:num>
              <m:r>
                <m:rPr>
                  <m:sty m:val="b"/>
                </m:rPr>
                <w:rPr>
                  <w:rFonts w:ascii="Cambria Math" w:hAnsi="Cambria Math" w:cs="Cambria Math"/>
                  <w:szCs w:val="24"/>
                </w:rPr>
                <m:t xml:space="preserve">Long </m:t>
              </m:r>
              <m:r>
                <m:rPr>
                  <m:sty m:val="b"/>
                </m:rPr>
                <w:rPr>
                  <w:rFonts w:ascii="Cambria Math" w:hAnsi="Cambria Math" w:cs="Cambria Math"/>
                  <w:sz w:val="18"/>
                  <w:szCs w:val="24"/>
                </w:rPr>
                <m:t>Tre</m:t>
              </m:r>
              <m:r>
                <m:rPr>
                  <m:sty m:val="b"/>
                </m:rPr>
                <w:rPr>
                  <w:rFonts w:ascii="Cambria Math" w:hAnsi="Cambria Math" w:cs="Cambria Math"/>
                  <w:sz w:val="18"/>
                  <w:szCs w:val="24"/>
                </w:rPr>
                <m:t>m</m:t>
              </m:r>
              <m:r>
                <m:rPr>
                  <m:sty m:val="b"/>
                </m:rPr>
                <w:rPr>
                  <w:rFonts w:ascii="Cambria Math" w:hAnsi="Cambria Math" w:cs="Cambria Math"/>
                  <w:szCs w:val="24"/>
                </w:rPr>
                <m:t xml:space="preserve"> Debt</m:t>
              </m:r>
            </m:num>
            <m:den>
              <m:r>
                <m:rPr>
                  <m:sty m:val="b"/>
                </m:rPr>
                <w:rPr>
                  <w:rFonts w:ascii="Cambria Math" w:hAnsi="Cambria Math" w:cs="Cambria Math"/>
                  <w:szCs w:val="24"/>
                </w:rPr>
                <m:t>Equity</m:t>
              </m:r>
            </m:den>
          </m:f>
          <m:r>
            <m:rPr>
              <m:sty m:val="b"/>
            </m:rPr>
            <w:rPr>
              <w:rFonts w:ascii="Cambria Math" w:hAnsi="Cambria Math"/>
              <w:szCs w:val="24"/>
            </w:rPr>
            <m:t>× 100%</m:t>
          </m:r>
        </m:oMath>
      </m:oMathPara>
    </w:p>
    <w:p w:rsidR="004E124A" w:rsidRPr="004E124A" w:rsidRDefault="004E124A" w:rsidP="004E124A">
      <w:pPr>
        <w:spacing w:line="480" w:lineRule="auto"/>
        <w:rPr>
          <w:rFonts w:eastAsiaTheme="minorEastAsia"/>
          <w:b/>
          <w:i/>
          <w:sz w:val="24"/>
          <w:szCs w:val="24"/>
          <w:lang w:val="id-ID"/>
        </w:rPr>
      </w:pPr>
    </w:p>
    <w:p w:rsidR="004E124A" w:rsidRDefault="00791B13" w:rsidP="004E124A">
      <w:pPr>
        <w:spacing w:line="480" w:lineRule="auto"/>
        <w:rPr>
          <w:rFonts w:eastAsiaTheme="minorEastAsia"/>
          <w:b/>
          <w:sz w:val="24"/>
          <w:szCs w:val="24"/>
          <w:lang w:val="id-ID"/>
        </w:rPr>
      </w:pPr>
      <w:r w:rsidRPr="004E124A">
        <w:rPr>
          <w:rFonts w:eastAsiaTheme="minorEastAsia"/>
          <w:b/>
          <w:i/>
          <w:sz w:val="24"/>
          <w:szCs w:val="24"/>
        </w:rPr>
        <w:t xml:space="preserve">Return On </w:t>
      </w:r>
      <w:proofErr w:type="gramStart"/>
      <w:r w:rsidRPr="004E124A">
        <w:rPr>
          <w:rFonts w:eastAsiaTheme="minorEastAsia"/>
          <w:b/>
          <w:i/>
          <w:sz w:val="24"/>
          <w:szCs w:val="24"/>
        </w:rPr>
        <w:t>Assets</w:t>
      </w:r>
      <w:r w:rsidRPr="004E124A">
        <w:rPr>
          <w:rFonts w:eastAsiaTheme="minorEastAsia"/>
          <w:b/>
          <w:sz w:val="24"/>
          <w:szCs w:val="24"/>
        </w:rPr>
        <w:t xml:space="preserve">  (</w:t>
      </w:r>
      <w:proofErr w:type="gramEnd"/>
      <w:r w:rsidRPr="004E124A">
        <w:rPr>
          <w:rFonts w:eastAsiaTheme="minorEastAsia"/>
          <w:b/>
          <w:sz w:val="24"/>
          <w:szCs w:val="24"/>
        </w:rPr>
        <w:t>ROA)</w:t>
      </w:r>
    </w:p>
    <w:p w:rsidR="00791B13" w:rsidRPr="004E124A" w:rsidRDefault="00791B13" w:rsidP="004E124A">
      <w:pPr>
        <w:spacing w:line="276" w:lineRule="auto"/>
        <w:ind w:firstLine="720"/>
        <w:jc w:val="both"/>
        <w:rPr>
          <w:rFonts w:eastAsiaTheme="minorEastAsia"/>
          <w:b/>
          <w:szCs w:val="24"/>
        </w:rPr>
      </w:pPr>
      <w:r w:rsidRPr="004E124A">
        <w:rPr>
          <w:rFonts w:eastAsiaTheme="minorEastAsia"/>
          <w:sz w:val="22"/>
          <w:szCs w:val="24"/>
        </w:rPr>
        <w:t xml:space="preserve">Return </w:t>
      </w:r>
      <w:proofErr w:type="gramStart"/>
      <w:r w:rsidRPr="004E124A">
        <w:rPr>
          <w:rFonts w:eastAsiaTheme="minorEastAsia"/>
          <w:sz w:val="22"/>
          <w:szCs w:val="24"/>
        </w:rPr>
        <w:t>On</w:t>
      </w:r>
      <w:proofErr w:type="gramEnd"/>
      <w:r w:rsidRPr="004E124A">
        <w:rPr>
          <w:rFonts w:eastAsiaTheme="minorEastAsia"/>
          <w:sz w:val="22"/>
          <w:szCs w:val="24"/>
        </w:rPr>
        <w:t xml:space="preserve"> Asset merupakan kemampuan perusahaan untuk menghasilkan jumlah rupiah laba bersih sebelum bunga dan pajak (EBIT) dengan total aktiva, rumus: </w:t>
      </w:r>
    </w:p>
    <w:p w:rsidR="004E124A" w:rsidRPr="0048544A" w:rsidRDefault="00791B13" w:rsidP="0048544A">
      <w:pPr>
        <w:spacing w:line="480" w:lineRule="auto"/>
        <w:jc w:val="both"/>
        <w:rPr>
          <w:rFonts w:eastAsiaTheme="minorEastAsia"/>
          <w:b/>
          <w:sz w:val="22"/>
          <w:szCs w:val="24"/>
          <w:lang w:val="id-ID"/>
        </w:rPr>
      </w:pPr>
      <m:oMath>
        <m:r>
          <m:rPr>
            <m:sty m:val="bi"/>
          </m:rPr>
          <w:rPr>
            <w:rFonts w:ascii="Cambria Math" w:eastAsiaTheme="minorEastAsia" w:hAnsi="Cambria Math"/>
            <w:sz w:val="22"/>
            <w:szCs w:val="24"/>
          </w:rPr>
          <m:t>Return On Asset</m:t>
        </m:r>
        <m:r>
          <m:rPr>
            <m:sty m:val="b"/>
          </m:rPr>
          <w:rPr>
            <w:rFonts w:ascii="Cambria Math" w:eastAsiaTheme="minorEastAsia" w:hAnsi="Cambria Math"/>
            <w:sz w:val="22"/>
            <w:szCs w:val="24"/>
          </w:rPr>
          <m:t>=</m:t>
        </m:r>
        <m:f>
          <m:fPr>
            <m:ctrlPr>
              <w:rPr>
                <w:rFonts w:ascii="Cambria Math" w:eastAsiaTheme="minorEastAsia" w:hAnsi="Cambria Math"/>
                <w:b/>
                <w:sz w:val="22"/>
                <w:szCs w:val="24"/>
              </w:rPr>
            </m:ctrlPr>
          </m:fPr>
          <m:num>
            <m:r>
              <m:rPr>
                <m:sty m:val="b"/>
              </m:rPr>
              <w:rPr>
                <w:rFonts w:ascii="Cambria Math" w:eastAsiaTheme="minorEastAsia" w:hAnsi="Cambria Math"/>
                <w:sz w:val="22"/>
                <w:szCs w:val="24"/>
              </w:rPr>
              <m:t>Laba Bersih</m:t>
            </m:r>
          </m:num>
          <m:den>
            <m:r>
              <m:rPr>
                <m:sty m:val="b"/>
              </m:rPr>
              <w:rPr>
                <w:rFonts w:ascii="Cambria Math" w:eastAsiaTheme="minorEastAsia" w:hAnsi="Cambria Math"/>
                <w:sz w:val="22"/>
                <w:szCs w:val="24"/>
              </w:rPr>
              <m:t>Total Aktiva</m:t>
            </m:r>
          </m:den>
        </m:f>
        <m:r>
          <m:rPr>
            <m:sty m:val="b"/>
          </m:rPr>
          <w:rPr>
            <w:rFonts w:ascii="Cambria Math" w:hAnsi="Cambria Math"/>
            <w:sz w:val="22"/>
            <w:szCs w:val="24"/>
          </w:rPr>
          <m:t>× 100%</m:t>
        </m:r>
      </m:oMath>
      <w:r w:rsidR="004E124A">
        <w:rPr>
          <w:rFonts w:eastAsiaTheme="minorEastAsia"/>
          <w:b/>
          <w:sz w:val="22"/>
          <w:szCs w:val="24"/>
        </w:rPr>
        <w:t xml:space="preserve"> </w:t>
      </w:r>
    </w:p>
    <w:p w:rsidR="004E124A" w:rsidRDefault="00791B13" w:rsidP="004E124A">
      <w:pPr>
        <w:spacing w:line="480" w:lineRule="auto"/>
        <w:rPr>
          <w:b/>
          <w:sz w:val="24"/>
          <w:szCs w:val="24"/>
          <w:lang w:val="id-ID"/>
        </w:rPr>
      </w:pPr>
      <w:r w:rsidRPr="004E124A">
        <w:rPr>
          <w:b/>
          <w:i/>
          <w:sz w:val="24"/>
          <w:szCs w:val="24"/>
        </w:rPr>
        <w:t xml:space="preserve">Return </w:t>
      </w:r>
      <w:proofErr w:type="gramStart"/>
      <w:r w:rsidRPr="004E124A">
        <w:rPr>
          <w:b/>
          <w:i/>
          <w:sz w:val="24"/>
          <w:szCs w:val="24"/>
        </w:rPr>
        <w:t>On</w:t>
      </w:r>
      <w:proofErr w:type="gramEnd"/>
      <w:r w:rsidRPr="004E124A">
        <w:rPr>
          <w:b/>
          <w:i/>
          <w:sz w:val="24"/>
          <w:szCs w:val="24"/>
        </w:rPr>
        <w:t xml:space="preserve"> Equity</w:t>
      </w:r>
      <w:r w:rsidRPr="004E124A">
        <w:rPr>
          <w:b/>
          <w:sz w:val="24"/>
          <w:szCs w:val="24"/>
        </w:rPr>
        <w:t xml:space="preserve"> (ROE)</w:t>
      </w:r>
    </w:p>
    <w:p w:rsidR="00791B13" w:rsidRPr="004E124A" w:rsidRDefault="00791B13" w:rsidP="004E124A">
      <w:pPr>
        <w:spacing w:line="276" w:lineRule="auto"/>
        <w:ind w:firstLine="720"/>
        <w:jc w:val="both"/>
        <w:rPr>
          <w:b/>
          <w:sz w:val="24"/>
          <w:szCs w:val="24"/>
          <w:lang w:val="id-ID"/>
        </w:rPr>
      </w:pPr>
      <w:r w:rsidRPr="004E124A">
        <w:rPr>
          <w:rFonts w:eastAsiaTheme="minorEastAsia"/>
          <w:i/>
          <w:sz w:val="22"/>
          <w:szCs w:val="24"/>
        </w:rPr>
        <w:t>Return On Equity</w:t>
      </w:r>
      <w:r w:rsidRPr="004E124A">
        <w:rPr>
          <w:rFonts w:eastAsiaTheme="minorEastAsia"/>
          <w:sz w:val="22"/>
          <w:szCs w:val="24"/>
        </w:rPr>
        <w:t xml:space="preserve"> merupakan kemampuan perusahaan dalam menghasilkan laba setelah bunga dan pajak (EAT) dengan modal sendiri, rumus:</w:t>
      </w:r>
      <w:r w:rsidR="004E124A">
        <w:rPr>
          <w:rFonts w:eastAsiaTheme="minorEastAsia"/>
          <w:b/>
          <w:sz w:val="22"/>
          <w:szCs w:val="24"/>
        </w:rPr>
        <w:t xml:space="preserve"> </w:t>
      </w:r>
      <m:oMath>
        <m:r>
          <m:rPr>
            <m:sty m:val="bi"/>
          </m:rPr>
          <w:rPr>
            <w:rFonts w:ascii="Cambria Math" w:eastAsiaTheme="minorEastAsia" w:hAnsi="Cambria Math"/>
            <w:szCs w:val="24"/>
          </w:rPr>
          <m:t>Return On Equity</m:t>
        </m:r>
        <m:r>
          <m:rPr>
            <m:sty m:val="b"/>
          </m:rPr>
          <w:rPr>
            <w:rFonts w:ascii="Cambria Math" w:eastAsiaTheme="minorEastAsia" w:hAnsi="Cambria Math"/>
            <w:szCs w:val="24"/>
          </w:rPr>
          <m:t>=</m:t>
        </m:r>
        <m:f>
          <m:fPr>
            <m:ctrlPr>
              <w:rPr>
                <w:rFonts w:ascii="Cambria Math" w:eastAsiaTheme="minorEastAsia" w:hAnsi="Cambria Math"/>
                <w:b/>
                <w:szCs w:val="24"/>
              </w:rPr>
            </m:ctrlPr>
          </m:fPr>
          <m:num>
            <m:r>
              <m:rPr>
                <m:sty m:val="b"/>
              </m:rPr>
              <w:rPr>
                <w:rFonts w:ascii="Cambria Math" w:eastAsiaTheme="minorEastAsia" w:hAnsi="Cambria Math"/>
                <w:szCs w:val="24"/>
              </w:rPr>
              <m:t>Laba Bersih</m:t>
            </m:r>
          </m:num>
          <m:den>
            <m:r>
              <m:rPr>
                <m:sty m:val="b"/>
              </m:rPr>
              <w:rPr>
                <w:rFonts w:ascii="Cambria Math" w:eastAsiaTheme="minorEastAsia" w:hAnsi="Cambria Math"/>
                <w:szCs w:val="24"/>
              </w:rPr>
              <m:t>Modal Sendiri</m:t>
            </m:r>
          </m:den>
        </m:f>
        <m:r>
          <m:rPr>
            <m:sty m:val="b"/>
          </m:rPr>
          <w:rPr>
            <w:rFonts w:ascii="Cambria Math" w:hAnsi="Cambria Math"/>
            <w:szCs w:val="24"/>
          </w:rPr>
          <m:t>× 100%</m:t>
        </m:r>
      </m:oMath>
    </w:p>
    <w:p w:rsidR="00791B13" w:rsidRPr="004E124A" w:rsidRDefault="00791B13" w:rsidP="004E124A">
      <w:pPr>
        <w:spacing w:line="276" w:lineRule="auto"/>
        <w:ind w:left="851" w:firstLine="709"/>
        <w:jc w:val="both"/>
        <w:rPr>
          <w:rFonts w:eastAsiaTheme="minorEastAsia"/>
          <w:b/>
          <w:sz w:val="22"/>
          <w:szCs w:val="24"/>
        </w:rPr>
      </w:pPr>
    </w:p>
    <w:p w:rsidR="00092739" w:rsidRPr="006455E5" w:rsidRDefault="00092739" w:rsidP="00092739">
      <w:pPr>
        <w:spacing w:after="200" w:line="276" w:lineRule="auto"/>
        <w:rPr>
          <w:b/>
          <w:sz w:val="22"/>
          <w:szCs w:val="24"/>
          <w:lang w:val="id-ID"/>
        </w:rPr>
      </w:pPr>
      <w:r w:rsidRPr="006455E5">
        <w:rPr>
          <w:b/>
          <w:sz w:val="22"/>
          <w:szCs w:val="24"/>
        </w:rPr>
        <w:t xml:space="preserve">Perhitungan </w:t>
      </w:r>
      <w:r w:rsidRPr="006455E5">
        <w:rPr>
          <w:b/>
          <w:i/>
          <w:sz w:val="22"/>
          <w:szCs w:val="24"/>
        </w:rPr>
        <w:t xml:space="preserve">Debt </w:t>
      </w:r>
      <w:proofErr w:type="gramStart"/>
      <w:r w:rsidRPr="006455E5">
        <w:rPr>
          <w:b/>
          <w:i/>
          <w:sz w:val="22"/>
          <w:szCs w:val="24"/>
        </w:rPr>
        <w:t>To</w:t>
      </w:r>
      <w:proofErr w:type="gramEnd"/>
      <w:r w:rsidRPr="006455E5">
        <w:rPr>
          <w:b/>
          <w:i/>
          <w:sz w:val="22"/>
          <w:szCs w:val="24"/>
        </w:rPr>
        <w:t xml:space="preserve"> Asset Ratio</w:t>
      </w:r>
      <w:r w:rsidRPr="006455E5">
        <w:rPr>
          <w:b/>
          <w:sz w:val="22"/>
          <w:szCs w:val="24"/>
        </w:rPr>
        <w:t xml:space="preserve"> (DAR)</w:t>
      </w:r>
    </w:p>
    <w:p w:rsidR="00092739" w:rsidRPr="00092739" w:rsidRDefault="00092739" w:rsidP="00092739">
      <w:pPr>
        <w:spacing w:after="200" w:line="276" w:lineRule="auto"/>
        <w:ind w:firstLine="426"/>
        <w:jc w:val="both"/>
        <w:rPr>
          <w:sz w:val="22"/>
          <w:szCs w:val="24"/>
          <w:lang w:val="id-ID"/>
        </w:rPr>
      </w:pPr>
      <w:r w:rsidRPr="006455E5">
        <w:rPr>
          <w:i/>
          <w:sz w:val="22"/>
          <w:szCs w:val="24"/>
        </w:rPr>
        <w:t>Debt to Asset Ratio</w:t>
      </w:r>
      <w:r w:rsidRPr="006455E5">
        <w:rPr>
          <w:sz w:val="22"/>
          <w:szCs w:val="24"/>
        </w:rPr>
        <w:t xml:space="preserve"> merupakan rasio yang di sebut rasio yang melihat perbandingan utang perusahan yaitu diperoleh dari perbandingan total utang di bagi dengan total aset, dengan kata lain seberapa besar aset perusahaan di biayai oleh kewajiban atau seberapa besar utang perusahaan berpengaruh terhadap pengelolahan aset. </w:t>
      </w:r>
    </w:p>
    <w:p w:rsidR="00092739" w:rsidRPr="00092739" w:rsidRDefault="00092739" w:rsidP="00092739">
      <w:pPr>
        <w:jc w:val="center"/>
        <w:rPr>
          <w:b/>
          <w:szCs w:val="24"/>
          <w:lang w:val="id-ID"/>
        </w:rPr>
      </w:pPr>
      <w:r>
        <w:rPr>
          <w:b/>
          <w:szCs w:val="24"/>
        </w:rPr>
        <w:t xml:space="preserve">Tabel </w:t>
      </w:r>
      <w:r>
        <w:rPr>
          <w:b/>
          <w:szCs w:val="24"/>
          <w:lang w:val="id-ID"/>
        </w:rPr>
        <w:t>2</w:t>
      </w:r>
    </w:p>
    <w:p w:rsidR="00092739" w:rsidRPr="006455E5" w:rsidRDefault="00092739" w:rsidP="00092739">
      <w:pPr>
        <w:jc w:val="center"/>
        <w:rPr>
          <w:b/>
          <w:szCs w:val="24"/>
          <w:lang w:val="id-ID"/>
        </w:rPr>
      </w:pPr>
      <w:r w:rsidRPr="006455E5">
        <w:rPr>
          <w:b/>
          <w:szCs w:val="24"/>
        </w:rPr>
        <w:t>Total Debt to Asset Ratio</w:t>
      </w:r>
    </w:p>
    <w:tbl>
      <w:tblPr>
        <w:tblStyle w:val="LightShading"/>
        <w:tblpPr w:leftFromText="180" w:rightFromText="180" w:vertAnchor="text" w:horzAnchor="margin" w:tblpXSpec="right" w:tblpY="41"/>
        <w:tblW w:w="4115" w:type="dxa"/>
        <w:tblLayout w:type="fixed"/>
        <w:tblLook w:val="04A0" w:firstRow="1" w:lastRow="0" w:firstColumn="1" w:lastColumn="0" w:noHBand="0" w:noVBand="1"/>
      </w:tblPr>
      <w:tblGrid>
        <w:gridCol w:w="835"/>
        <w:gridCol w:w="665"/>
        <w:gridCol w:w="639"/>
        <w:gridCol w:w="663"/>
        <w:gridCol w:w="660"/>
        <w:gridCol w:w="653"/>
      </w:tblGrid>
      <w:tr w:rsidR="00521934" w:rsidTr="00521934">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35" w:type="dxa"/>
          </w:tcPr>
          <w:p w:rsidR="00521934" w:rsidRPr="006455E5" w:rsidRDefault="00521934" w:rsidP="00521934">
            <w:pPr>
              <w:pStyle w:val="ListParagraph"/>
              <w:jc w:val="center"/>
              <w:rPr>
                <w:b w:val="0"/>
                <w:sz w:val="20"/>
                <w:szCs w:val="24"/>
              </w:rPr>
            </w:pPr>
            <w:r w:rsidRPr="006455E5">
              <w:rPr>
                <w:b w:val="0"/>
                <w:sz w:val="20"/>
                <w:szCs w:val="24"/>
              </w:rPr>
              <w:t>Tahun</w:t>
            </w:r>
          </w:p>
        </w:tc>
        <w:tc>
          <w:tcPr>
            <w:tcW w:w="665" w:type="dxa"/>
          </w:tcPr>
          <w:p w:rsidR="00521934" w:rsidRPr="006455E5" w:rsidRDefault="00521934" w:rsidP="0052193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2016</w:t>
            </w:r>
          </w:p>
        </w:tc>
        <w:tc>
          <w:tcPr>
            <w:tcW w:w="639" w:type="dxa"/>
          </w:tcPr>
          <w:p w:rsidR="00521934" w:rsidRPr="006455E5" w:rsidRDefault="00521934" w:rsidP="0052193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2017</w:t>
            </w:r>
          </w:p>
        </w:tc>
        <w:tc>
          <w:tcPr>
            <w:tcW w:w="663" w:type="dxa"/>
          </w:tcPr>
          <w:p w:rsidR="00521934" w:rsidRPr="006455E5" w:rsidRDefault="00521934" w:rsidP="0052193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2018</w:t>
            </w:r>
          </w:p>
        </w:tc>
        <w:tc>
          <w:tcPr>
            <w:tcW w:w="660" w:type="dxa"/>
          </w:tcPr>
          <w:p w:rsidR="00521934" w:rsidRPr="006455E5" w:rsidRDefault="00521934" w:rsidP="0052193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2019</w:t>
            </w:r>
          </w:p>
        </w:tc>
        <w:tc>
          <w:tcPr>
            <w:tcW w:w="653" w:type="dxa"/>
          </w:tcPr>
          <w:p w:rsidR="00521934" w:rsidRPr="006455E5" w:rsidRDefault="00521934" w:rsidP="0052193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2020</w:t>
            </w:r>
          </w:p>
        </w:tc>
      </w:tr>
      <w:tr w:rsidR="00521934" w:rsidTr="0052193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5" w:type="dxa"/>
          </w:tcPr>
          <w:p w:rsidR="00521934" w:rsidRPr="006455E5" w:rsidRDefault="00521934" w:rsidP="00521934">
            <w:pPr>
              <w:pStyle w:val="ListParagraph"/>
              <w:jc w:val="center"/>
              <w:rPr>
                <w:b w:val="0"/>
                <w:sz w:val="20"/>
                <w:szCs w:val="24"/>
              </w:rPr>
            </w:pPr>
            <w:r w:rsidRPr="006455E5">
              <w:rPr>
                <w:b w:val="0"/>
                <w:sz w:val="20"/>
                <w:szCs w:val="24"/>
              </w:rPr>
              <w:t>Hasil</w:t>
            </w:r>
          </w:p>
          <w:p w:rsidR="00521934" w:rsidRPr="006455E5" w:rsidRDefault="00521934" w:rsidP="00521934">
            <w:pPr>
              <w:pStyle w:val="ListParagraph"/>
              <w:jc w:val="center"/>
              <w:rPr>
                <w:b w:val="0"/>
                <w:sz w:val="20"/>
                <w:szCs w:val="24"/>
              </w:rPr>
            </w:pPr>
            <w:r w:rsidRPr="006455E5">
              <w:rPr>
                <w:b w:val="0"/>
                <w:sz w:val="20"/>
                <w:szCs w:val="24"/>
              </w:rPr>
              <w:t>Perhitungan</w:t>
            </w:r>
          </w:p>
        </w:tc>
        <w:tc>
          <w:tcPr>
            <w:tcW w:w="665" w:type="dxa"/>
          </w:tcPr>
          <w:p w:rsidR="00521934" w:rsidRPr="006455E5" w:rsidRDefault="00521934" w:rsidP="0052193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sidRPr="006455E5">
              <w:rPr>
                <w:b/>
                <w:sz w:val="20"/>
                <w:szCs w:val="24"/>
              </w:rPr>
              <w:t>31,4%</w:t>
            </w:r>
          </w:p>
        </w:tc>
        <w:tc>
          <w:tcPr>
            <w:tcW w:w="639" w:type="dxa"/>
          </w:tcPr>
          <w:p w:rsidR="00521934" w:rsidRPr="006455E5" w:rsidRDefault="00521934" w:rsidP="0052193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sidRPr="006455E5">
              <w:rPr>
                <w:b/>
                <w:sz w:val="20"/>
                <w:szCs w:val="24"/>
              </w:rPr>
              <w:t>32,4%</w:t>
            </w:r>
          </w:p>
        </w:tc>
        <w:tc>
          <w:tcPr>
            <w:tcW w:w="663" w:type="dxa"/>
          </w:tcPr>
          <w:p w:rsidR="00521934" w:rsidRPr="006455E5" w:rsidRDefault="00521934" w:rsidP="0052193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sidRPr="006455E5">
              <w:rPr>
                <w:b/>
                <w:sz w:val="20"/>
                <w:szCs w:val="24"/>
              </w:rPr>
              <w:t>32,2%</w:t>
            </w:r>
          </w:p>
        </w:tc>
        <w:tc>
          <w:tcPr>
            <w:tcW w:w="660" w:type="dxa"/>
          </w:tcPr>
          <w:p w:rsidR="00521934" w:rsidRPr="006455E5" w:rsidRDefault="00521934" w:rsidP="0052193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sidRPr="006455E5">
              <w:rPr>
                <w:b/>
                <w:sz w:val="20"/>
                <w:szCs w:val="24"/>
              </w:rPr>
              <w:t>32,4%</w:t>
            </w:r>
          </w:p>
        </w:tc>
        <w:tc>
          <w:tcPr>
            <w:tcW w:w="653" w:type="dxa"/>
          </w:tcPr>
          <w:p w:rsidR="00521934" w:rsidRPr="006455E5" w:rsidRDefault="00521934" w:rsidP="0052193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sidRPr="006455E5">
              <w:rPr>
                <w:b/>
                <w:sz w:val="20"/>
                <w:szCs w:val="24"/>
              </w:rPr>
              <w:t>32,4%</w:t>
            </w:r>
          </w:p>
        </w:tc>
      </w:tr>
    </w:tbl>
    <w:p w:rsidR="00092739" w:rsidRDefault="00092739" w:rsidP="00092739">
      <w:pPr>
        <w:spacing w:line="276" w:lineRule="auto"/>
        <w:ind w:firstLine="720"/>
        <w:jc w:val="both"/>
        <w:rPr>
          <w:b/>
          <w:sz w:val="24"/>
          <w:szCs w:val="24"/>
          <w:lang w:val="id-ID"/>
        </w:rPr>
      </w:pPr>
    </w:p>
    <w:p w:rsidR="00092739" w:rsidRDefault="00092739" w:rsidP="00521934">
      <w:pPr>
        <w:spacing w:line="276" w:lineRule="auto"/>
        <w:jc w:val="both"/>
        <w:rPr>
          <w:sz w:val="22"/>
          <w:szCs w:val="24"/>
          <w:lang w:val="id-ID"/>
        </w:rPr>
      </w:pPr>
    </w:p>
    <w:p w:rsidR="00092739" w:rsidRPr="00092739" w:rsidRDefault="00092739" w:rsidP="00092739">
      <w:pPr>
        <w:spacing w:line="276" w:lineRule="auto"/>
        <w:ind w:firstLine="720"/>
        <w:jc w:val="both"/>
        <w:rPr>
          <w:sz w:val="22"/>
          <w:szCs w:val="24"/>
          <w:lang w:val="id-ID"/>
        </w:rPr>
      </w:pPr>
      <w:r w:rsidRPr="00092739">
        <w:rPr>
          <w:sz w:val="22"/>
          <w:szCs w:val="24"/>
        </w:rPr>
        <w:t xml:space="preserve">Bedasarkan hasil perhitungan yang dilakukan dapat diketahui bahwa </w:t>
      </w:r>
      <w:r w:rsidRPr="00092739">
        <w:rPr>
          <w:i/>
          <w:sz w:val="22"/>
          <w:szCs w:val="24"/>
        </w:rPr>
        <w:t>Debt To Asset Ratio</w:t>
      </w:r>
      <w:r w:rsidRPr="00092739">
        <w:rPr>
          <w:sz w:val="22"/>
          <w:szCs w:val="24"/>
        </w:rPr>
        <w:t xml:space="preserve"> pada tahun 2016 sebesar 31,4 pada tahun 2017 naik menjadi 32,4% lalu pada tahun 2018 turun menjadi 32,2% kemudian ditahun 2019 </w:t>
      </w:r>
      <w:r w:rsidRPr="00092739">
        <w:rPr>
          <w:i/>
          <w:sz w:val="22"/>
          <w:szCs w:val="24"/>
        </w:rPr>
        <w:t>Debt To Asset Ratio</w:t>
      </w:r>
      <w:r w:rsidRPr="00092739">
        <w:rPr>
          <w:sz w:val="22"/>
          <w:szCs w:val="24"/>
        </w:rPr>
        <w:t xml:space="preserve"> naik menjadi 32,4% dan pada tahun 2020 sebesar 32,4%. Jadi , dapat disimpulkan bahwa tingkat </w:t>
      </w:r>
      <w:r w:rsidRPr="00092739">
        <w:rPr>
          <w:i/>
          <w:sz w:val="22"/>
          <w:szCs w:val="24"/>
        </w:rPr>
        <w:t>Debt To Asset Ratio</w:t>
      </w:r>
      <w:r w:rsidRPr="00092739">
        <w:rPr>
          <w:sz w:val="22"/>
          <w:szCs w:val="24"/>
        </w:rPr>
        <w:t xml:space="preserve"> di Bengkel LA (Linggau </w:t>
      </w:r>
      <w:r w:rsidRPr="00092739">
        <w:rPr>
          <w:i/>
          <w:sz w:val="22"/>
          <w:szCs w:val="24"/>
        </w:rPr>
        <w:t>Advertising)</w:t>
      </w:r>
      <w:r w:rsidRPr="00092739">
        <w:rPr>
          <w:sz w:val="22"/>
          <w:szCs w:val="24"/>
        </w:rPr>
        <w:t xml:space="preserve"> kota </w:t>
      </w:r>
      <w:r w:rsidRPr="003005FB">
        <w:rPr>
          <w:sz w:val="24"/>
          <w:szCs w:val="24"/>
        </w:rPr>
        <w:t xml:space="preserve">lubuklinggau, dapat diidentifikasikan bahwa perhitungan </w:t>
      </w:r>
      <w:r w:rsidRPr="00903DC8">
        <w:rPr>
          <w:i/>
          <w:sz w:val="24"/>
          <w:szCs w:val="24"/>
        </w:rPr>
        <w:t>Debt To Asset Ratio</w:t>
      </w:r>
      <w:r w:rsidRPr="003005FB">
        <w:rPr>
          <w:sz w:val="24"/>
          <w:szCs w:val="24"/>
        </w:rPr>
        <w:t xml:space="preserve"> di Bengkel LA (Linggau </w:t>
      </w:r>
      <w:r w:rsidRPr="00903DC8">
        <w:rPr>
          <w:i/>
          <w:sz w:val="24"/>
          <w:szCs w:val="24"/>
        </w:rPr>
        <w:t>Advertising)</w:t>
      </w:r>
      <w:r w:rsidRPr="003005FB">
        <w:rPr>
          <w:sz w:val="24"/>
          <w:szCs w:val="24"/>
        </w:rPr>
        <w:t xml:space="preserve"> kota lubuklinggau pada tahun 2016 dapat dikatakan </w:t>
      </w:r>
      <w:r w:rsidRPr="00903DC8">
        <w:rPr>
          <w:i/>
          <w:sz w:val="24"/>
          <w:szCs w:val="24"/>
        </w:rPr>
        <w:t>Debt To Asset Ratio</w:t>
      </w:r>
      <w:r w:rsidRPr="003005FB">
        <w:rPr>
          <w:sz w:val="24"/>
          <w:szCs w:val="24"/>
        </w:rPr>
        <w:t xml:space="preserve"> “sehat”, pada tahun 2017 dapat dikatakan </w:t>
      </w:r>
      <w:r w:rsidRPr="00903DC8">
        <w:rPr>
          <w:i/>
          <w:sz w:val="24"/>
          <w:szCs w:val="24"/>
        </w:rPr>
        <w:t>Debt To Asset Ratio</w:t>
      </w:r>
      <w:r w:rsidRPr="003005FB">
        <w:rPr>
          <w:sz w:val="24"/>
          <w:szCs w:val="24"/>
        </w:rPr>
        <w:t xml:space="preserve"> “sehat”, pada tahun 2018 dapat dikatakan </w:t>
      </w:r>
      <w:r w:rsidRPr="00903DC8">
        <w:rPr>
          <w:i/>
          <w:sz w:val="24"/>
          <w:szCs w:val="24"/>
        </w:rPr>
        <w:t>Debt To Asset Ratio</w:t>
      </w:r>
      <w:r w:rsidRPr="003005FB">
        <w:rPr>
          <w:sz w:val="24"/>
          <w:szCs w:val="24"/>
        </w:rPr>
        <w:t xml:space="preserve"> “sehat”, ditahun 2019 </w:t>
      </w:r>
      <w:r w:rsidRPr="00903DC8">
        <w:rPr>
          <w:i/>
          <w:sz w:val="24"/>
          <w:szCs w:val="24"/>
        </w:rPr>
        <w:t>Debt To Asset Ratio</w:t>
      </w:r>
      <w:r w:rsidRPr="003005FB">
        <w:rPr>
          <w:sz w:val="24"/>
          <w:szCs w:val="24"/>
        </w:rPr>
        <w:t xml:space="preserve"> “sehat” ,dan pada tahun 2020 dapat dikatakan </w:t>
      </w:r>
      <w:r w:rsidRPr="00903DC8">
        <w:rPr>
          <w:i/>
          <w:sz w:val="24"/>
          <w:szCs w:val="24"/>
        </w:rPr>
        <w:t>Debt To Asset Ratio</w:t>
      </w:r>
      <w:r w:rsidRPr="003005FB">
        <w:rPr>
          <w:sz w:val="24"/>
          <w:szCs w:val="24"/>
        </w:rPr>
        <w:t xml:space="preserve"> “sehat”.</w:t>
      </w:r>
    </w:p>
    <w:p w:rsidR="00092739" w:rsidRPr="00092739" w:rsidRDefault="00092739" w:rsidP="00092739">
      <w:pPr>
        <w:spacing w:line="276" w:lineRule="auto"/>
        <w:ind w:firstLine="720"/>
        <w:jc w:val="both"/>
        <w:rPr>
          <w:sz w:val="22"/>
          <w:szCs w:val="24"/>
          <w:lang w:val="id-ID"/>
        </w:rPr>
      </w:pPr>
    </w:p>
    <w:p w:rsidR="00092739" w:rsidRDefault="00092739" w:rsidP="00092739">
      <w:pPr>
        <w:spacing w:line="276" w:lineRule="auto"/>
        <w:jc w:val="both"/>
        <w:rPr>
          <w:sz w:val="22"/>
          <w:szCs w:val="24"/>
          <w:lang w:val="id-ID"/>
        </w:rPr>
      </w:pPr>
    </w:p>
    <w:p w:rsidR="00092739" w:rsidRPr="006455E5" w:rsidRDefault="00092739" w:rsidP="00092739">
      <w:pPr>
        <w:spacing w:after="200" w:line="276" w:lineRule="auto"/>
        <w:rPr>
          <w:b/>
          <w:sz w:val="22"/>
          <w:szCs w:val="24"/>
          <w:lang w:val="id-ID"/>
        </w:rPr>
      </w:pPr>
      <w:r w:rsidRPr="006455E5">
        <w:rPr>
          <w:b/>
          <w:sz w:val="22"/>
          <w:szCs w:val="24"/>
        </w:rPr>
        <w:t xml:space="preserve">Perhitungan </w:t>
      </w:r>
      <w:r w:rsidRPr="006455E5">
        <w:rPr>
          <w:b/>
          <w:i/>
          <w:sz w:val="22"/>
          <w:szCs w:val="24"/>
        </w:rPr>
        <w:t xml:space="preserve">Debt </w:t>
      </w:r>
      <w:proofErr w:type="gramStart"/>
      <w:r w:rsidRPr="006455E5">
        <w:rPr>
          <w:b/>
          <w:i/>
          <w:sz w:val="22"/>
          <w:szCs w:val="24"/>
        </w:rPr>
        <w:t>To</w:t>
      </w:r>
      <w:proofErr w:type="gramEnd"/>
      <w:r w:rsidRPr="006455E5">
        <w:rPr>
          <w:b/>
          <w:i/>
          <w:sz w:val="22"/>
          <w:szCs w:val="24"/>
        </w:rPr>
        <w:t xml:space="preserve"> </w:t>
      </w:r>
      <w:r>
        <w:rPr>
          <w:b/>
          <w:i/>
          <w:sz w:val="22"/>
          <w:szCs w:val="24"/>
          <w:lang w:val="id-ID"/>
        </w:rPr>
        <w:t>Equity</w:t>
      </w:r>
      <w:r w:rsidRPr="006455E5">
        <w:rPr>
          <w:b/>
          <w:i/>
          <w:sz w:val="22"/>
          <w:szCs w:val="24"/>
        </w:rPr>
        <w:t xml:space="preserve"> Ratio</w:t>
      </w:r>
      <w:r>
        <w:rPr>
          <w:b/>
          <w:sz w:val="22"/>
          <w:szCs w:val="24"/>
        </w:rPr>
        <w:t xml:space="preserve"> (D</w:t>
      </w:r>
      <w:r>
        <w:rPr>
          <w:b/>
          <w:sz w:val="22"/>
          <w:szCs w:val="24"/>
          <w:lang w:val="id-ID"/>
        </w:rPr>
        <w:t>E</w:t>
      </w:r>
      <w:r w:rsidRPr="006455E5">
        <w:rPr>
          <w:b/>
          <w:sz w:val="22"/>
          <w:szCs w:val="24"/>
        </w:rPr>
        <w:t>R)</w:t>
      </w:r>
    </w:p>
    <w:p w:rsidR="00092739" w:rsidRPr="006455E5" w:rsidRDefault="00092739" w:rsidP="00092739">
      <w:pPr>
        <w:jc w:val="center"/>
        <w:rPr>
          <w:b/>
          <w:szCs w:val="24"/>
        </w:rPr>
      </w:pPr>
      <w:r>
        <w:rPr>
          <w:b/>
          <w:szCs w:val="24"/>
        </w:rPr>
        <w:t xml:space="preserve">Tabel </w:t>
      </w:r>
      <w:r w:rsidRPr="006455E5">
        <w:rPr>
          <w:b/>
          <w:szCs w:val="24"/>
        </w:rPr>
        <w:t>3</w:t>
      </w:r>
    </w:p>
    <w:tbl>
      <w:tblPr>
        <w:tblStyle w:val="LightShading"/>
        <w:tblpPr w:leftFromText="180" w:rightFromText="180" w:vertAnchor="text" w:horzAnchor="margin" w:tblpXSpec="right" w:tblpY="-34"/>
        <w:tblW w:w="4115" w:type="dxa"/>
        <w:tblLayout w:type="fixed"/>
        <w:tblLook w:val="04A0" w:firstRow="1" w:lastRow="0" w:firstColumn="1" w:lastColumn="0" w:noHBand="0" w:noVBand="1"/>
      </w:tblPr>
      <w:tblGrid>
        <w:gridCol w:w="835"/>
        <w:gridCol w:w="665"/>
        <w:gridCol w:w="639"/>
        <w:gridCol w:w="663"/>
        <w:gridCol w:w="660"/>
        <w:gridCol w:w="653"/>
      </w:tblGrid>
      <w:tr w:rsidR="00474614" w:rsidTr="00474614">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35" w:type="dxa"/>
          </w:tcPr>
          <w:p w:rsidR="00474614" w:rsidRPr="006455E5" w:rsidRDefault="00474614" w:rsidP="00474614">
            <w:pPr>
              <w:pStyle w:val="ListParagraph"/>
              <w:jc w:val="center"/>
              <w:rPr>
                <w:b w:val="0"/>
                <w:sz w:val="20"/>
                <w:szCs w:val="24"/>
              </w:rPr>
            </w:pPr>
            <w:r w:rsidRPr="006455E5">
              <w:rPr>
                <w:b w:val="0"/>
                <w:sz w:val="20"/>
                <w:szCs w:val="24"/>
              </w:rPr>
              <w:t>Tahun</w:t>
            </w:r>
          </w:p>
        </w:tc>
        <w:tc>
          <w:tcPr>
            <w:tcW w:w="665" w:type="dxa"/>
          </w:tcPr>
          <w:p w:rsidR="00474614" w:rsidRPr="006455E5" w:rsidRDefault="00474614" w:rsidP="0047461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2016</w:t>
            </w:r>
          </w:p>
        </w:tc>
        <w:tc>
          <w:tcPr>
            <w:tcW w:w="639" w:type="dxa"/>
          </w:tcPr>
          <w:p w:rsidR="00474614" w:rsidRPr="006455E5" w:rsidRDefault="00474614" w:rsidP="0047461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2017</w:t>
            </w:r>
          </w:p>
        </w:tc>
        <w:tc>
          <w:tcPr>
            <w:tcW w:w="663" w:type="dxa"/>
          </w:tcPr>
          <w:p w:rsidR="00474614" w:rsidRPr="006455E5" w:rsidRDefault="00474614" w:rsidP="0047461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2018</w:t>
            </w:r>
          </w:p>
        </w:tc>
        <w:tc>
          <w:tcPr>
            <w:tcW w:w="660" w:type="dxa"/>
          </w:tcPr>
          <w:p w:rsidR="00474614" w:rsidRPr="006455E5" w:rsidRDefault="00474614" w:rsidP="0047461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2019</w:t>
            </w:r>
          </w:p>
        </w:tc>
        <w:tc>
          <w:tcPr>
            <w:tcW w:w="653" w:type="dxa"/>
          </w:tcPr>
          <w:p w:rsidR="00474614" w:rsidRPr="006455E5" w:rsidRDefault="00474614" w:rsidP="00474614">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2020</w:t>
            </w:r>
          </w:p>
        </w:tc>
      </w:tr>
      <w:tr w:rsidR="00474614" w:rsidTr="0047461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5" w:type="dxa"/>
          </w:tcPr>
          <w:p w:rsidR="00474614" w:rsidRPr="006455E5" w:rsidRDefault="00474614" w:rsidP="00474614">
            <w:pPr>
              <w:pStyle w:val="ListParagraph"/>
              <w:jc w:val="center"/>
              <w:rPr>
                <w:b w:val="0"/>
                <w:sz w:val="20"/>
                <w:szCs w:val="24"/>
              </w:rPr>
            </w:pPr>
            <w:r w:rsidRPr="006455E5">
              <w:rPr>
                <w:b w:val="0"/>
                <w:sz w:val="20"/>
                <w:szCs w:val="24"/>
              </w:rPr>
              <w:t>Hasil</w:t>
            </w:r>
          </w:p>
          <w:p w:rsidR="00474614" w:rsidRPr="006455E5" w:rsidRDefault="00474614" w:rsidP="00474614">
            <w:pPr>
              <w:pStyle w:val="ListParagraph"/>
              <w:jc w:val="center"/>
              <w:rPr>
                <w:b w:val="0"/>
                <w:sz w:val="20"/>
                <w:szCs w:val="24"/>
              </w:rPr>
            </w:pPr>
            <w:r w:rsidRPr="006455E5">
              <w:rPr>
                <w:b w:val="0"/>
                <w:sz w:val="20"/>
                <w:szCs w:val="24"/>
              </w:rPr>
              <w:t>Perhitungan</w:t>
            </w:r>
          </w:p>
        </w:tc>
        <w:tc>
          <w:tcPr>
            <w:tcW w:w="665" w:type="dxa"/>
          </w:tcPr>
          <w:p w:rsidR="00474614" w:rsidRPr="006455E5" w:rsidRDefault="00474614" w:rsidP="0047461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45,8</w:t>
            </w:r>
            <w:r w:rsidRPr="006455E5">
              <w:rPr>
                <w:b/>
                <w:sz w:val="20"/>
                <w:szCs w:val="24"/>
              </w:rPr>
              <w:t>%</w:t>
            </w:r>
          </w:p>
        </w:tc>
        <w:tc>
          <w:tcPr>
            <w:tcW w:w="639" w:type="dxa"/>
          </w:tcPr>
          <w:p w:rsidR="00474614" w:rsidRPr="006455E5" w:rsidRDefault="00474614" w:rsidP="0047461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48</w:t>
            </w:r>
            <w:r w:rsidRPr="006455E5">
              <w:rPr>
                <w:b/>
                <w:sz w:val="20"/>
                <w:szCs w:val="24"/>
              </w:rPr>
              <w:t>%</w:t>
            </w:r>
          </w:p>
        </w:tc>
        <w:tc>
          <w:tcPr>
            <w:tcW w:w="663" w:type="dxa"/>
          </w:tcPr>
          <w:p w:rsidR="00474614" w:rsidRPr="006455E5" w:rsidRDefault="00474614" w:rsidP="0047461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47,5</w:t>
            </w:r>
            <w:r w:rsidRPr="006455E5">
              <w:rPr>
                <w:b/>
                <w:sz w:val="20"/>
                <w:szCs w:val="24"/>
              </w:rPr>
              <w:t>%</w:t>
            </w:r>
          </w:p>
        </w:tc>
        <w:tc>
          <w:tcPr>
            <w:tcW w:w="660" w:type="dxa"/>
          </w:tcPr>
          <w:p w:rsidR="00474614" w:rsidRPr="006455E5" w:rsidRDefault="00474614" w:rsidP="0047461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48</w:t>
            </w:r>
            <w:r w:rsidRPr="006455E5">
              <w:rPr>
                <w:b/>
                <w:sz w:val="20"/>
                <w:szCs w:val="24"/>
              </w:rPr>
              <w:t>%</w:t>
            </w:r>
          </w:p>
        </w:tc>
        <w:tc>
          <w:tcPr>
            <w:tcW w:w="653" w:type="dxa"/>
          </w:tcPr>
          <w:p w:rsidR="00474614" w:rsidRPr="006455E5" w:rsidRDefault="00474614" w:rsidP="00474614">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48</w:t>
            </w:r>
            <w:r w:rsidRPr="006455E5">
              <w:rPr>
                <w:b/>
                <w:sz w:val="20"/>
                <w:szCs w:val="24"/>
              </w:rPr>
              <w:t>%</w:t>
            </w:r>
          </w:p>
        </w:tc>
      </w:tr>
    </w:tbl>
    <w:p w:rsidR="00092739" w:rsidRPr="00092739" w:rsidRDefault="00092739" w:rsidP="00092739">
      <w:pPr>
        <w:jc w:val="center"/>
        <w:rPr>
          <w:b/>
        </w:rPr>
      </w:pPr>
      <w:r w:rsidRPr="00092739">
        <w:rPr>
          <w:b/>
        </w:rPr>
        <w:t xml:space="preserve">Total Debt </w:t>
      </w:r>
      <w:r w:rsidRPr="00092739">
        <w:rPr>
          <w:b/>
          <w:i/>
        </w:rPr>
        <w:t>to Equity Ratio</w:t>
      </w:r>
    </w:p>
    <w:p w:rsidR="00092739" w:rsidRPr="006455E5" w:rsidRDefault="00092739" w:rsidP="00092739">
      <w:pPr>
        <w:spacing w:line="276" w:lineRule="auto"/>
        <w:jc w:val="both"/>
        <w:rPr>
          <w:rFonts w:eastAsiaTheme="minorEastAsia"/>
          <w:b/>
          <w:sz w:val="22"/>
          <w:szCs w:val="24"/>
          <w:lang w:val="id-ID"/>
        </w:rPr>
      </w:pPr>
    </w:p>
    <w:p w:rsidR="00092739" w:rsidRPr="00092739" w:rsidRDefault="00092739" w:rsidP="00092739">
      <w:pPr>
        <w:spacing w:line="276" w:lineRule="auto"/>
        <w:ind w:firstLine="720"/>
        <w:jc w:val="both"/>
        <w:rPr>
          <w:sz w:val="24"/>
          <w:szCs w:val="24"/>
        </w:rPr>
      </w:pPr>
      <w:r w:rsidRPr="00092739">
        <w:rPr>
          <w:sz w:val="22"/>
          <w:szCs w:val="24"/>
        </w:rPr>
        <w:t xml:space="preserve">Bedasarkan hasil perhitungan yang dilakukan dapat diketahui bahwa </w:t>
      </w:r>
      <w:r w:rsidRPr="00092739">
        <w:rPr>
          <w:i/>
          <w:sz w:val="22"/>
          <w:szCs w:val="24"/>
        </w:rPr>
        <w:t>Debt To Equity Ratio</w:t>
      </w:r>
      <w:r w:rsidRPr="00092739">
        <w:rPr>
          <w:sz w:val="22"/>
          <w:szCs w:val="24"/>
        </w:rPr>
        <w:t xml:space="preserve"> pada tahun 2016 sebesar 45,8% pada tahun 2017 naik menjadi 48, % lalu pada tahun 2018 turun menjadi 47,5% kemudian ditahun 2019 </w:t>
      </w:r>
      <w:r w:rsidRPr="00092739">
        <w:rPr>
          <w:i/>
          <w:sz w:val="22"/>
          <w:szCs w:val="24"/>
        </w:rPr>
        <w:t>Debt To Equity Ratio</w:t>
      </w:r>
      <w:r w:rsidRPr="00092739">
        <w:rPr>
          <w:sz w:val="22"/>
          <w:szCs w:val="24"/>
        </w:rPr>
        <w:t xml:space="preserve"> naik menjadi 48,% dan pada tahun 2020 sebesar 48</w:t>
      </w:r>
      <w:proofErr w:type="gramStart"/>
      <w:r w:rsidRPr="00092739">
        <w:rPr>
          <w:sz w:val="22"/>
          <w:szCs w:val="24"/>
        </w:rPr>
        <w:t>,%</w:t>
      </w:r>
      <w:proofErr w:type="gramEnd"/>
      <w:r w:rsidRPr="00092739">
        <w:rPr>
          <w:sz w:val="22"/>
          <w:szCs w:val="24"/>
        </w:rPr>
        <w:t xml:space="preserve">. Jadi , dapat disimpulkan </w:t>
      </w:r>
      <w:r w:rsidRPr="00092739">
        <w:rPr>
          <w:sz w:val="22"/>
          <w:szCs w:val="24"/>
        </w:rPr>
        <w:lastRenderedPageBreak/>
        <w:t xml:space="preserve">bahwa tingkat </w:t>
      </w:r>
      <w:r w:rsidRPr="00092739">
        <w:rPr>
          <w:i/>
          <w:sz w:val="22"/>
          <w:szCs w:val="24"/>
        </w:rPr>
        <w:t>Debt To Asset Ratio</w:t>
      </w:r>
      <w:r w:rsidRPr="00092739">
        <w:rPr>
          <w:sz w:val="22"/>
          <w:szCs w:val="24"/>
        </w:rPr>
        <w:t xml:space="preserve"> di Bengkel LA (Linggau </w:t>
      </w:r>
      <w:r w:rsidRPr="00092739">
        <w:rPr>
          <w:i/>
          <w:sz w:val="22"/>
          <w:szCs w:val="24"/>
        </w:rPr>
        <w:t>Advertising)</w:t>
      </w:r>
      <w:r w:rsidRPr="00092739">
        <w:rPr>
          <w:sz w:val="22"/>
          <w:szCs w:val="24"/>
        </w:rPr>
        <w:t xml:space="preserve"> kota lubuklinggau, dapat diidentifikasikan bahwa perhitungan </w:t>
      </w:r>
      <w:r w:rsidRPr="00092739">
        <w:rPr>
          <w:i/>
          <w:sz w:val="22"/>
          <w:szCs w:val="24"/>
        </w:rPr>
        <w:t>Debt To Equity Ratio</w:t>
      </w:r>
      <w:r w:rsidRPr="00092739">
        <w:rPr>
          <w:sz w:val="22"/>
          <w:szCs w:val="24"/>
        </w:rPr>
        <w:t xml:space="preserve"> di Bengkel LA (Linggau </w:t>
      </w:r>
      <w:r w:rsidRPr="00092739">
        <w:rPr>
          <w:i/>
          <w:sz w:val="22"/>
          <w:szCs w:val="24"/>
        </w:rPr>
        <w:t>Advertising</w:t>
      </w:r>
      <w:r w:rsidRPr="00092739">
        <w:rPr>
          <w:sz w:val="22"/>
          <w:szCs w:val="24"/>
        </w:rPr>
        <w:t xml:space="preserve">) kota lubuklinggau </w:t>
      </w:r>
      <w:r w:rsidRPr="00092739">
        <w:rPr>
          <w:sz w:val="24"/>
          <w:szCs w:val="24"/>
        </w:rPr>
        <w:t xml:space="preserve">pada tahun 2016 dapat dikatakan </w:t>
      </w:r>
      <w:r w:rsidRPr="00092739">
        <w:rPr>
          <w:i/>
          <w:sz w:val="24"/>
          <w:szCs w:val="24"/>
        </w:rPr>
        <w:t>Debt To Equity Ratio</w:t>
      </w:r>
      <w:r w:rsidRPr="00092739">
        <w:rPr>
          <w:sz w:val="24"/>
          <w:szCs w:val="24"/>
        </w:rPr>
        <w:t xml:space="preserve"> “sehat”, pada tahun 2017 dapat dikatakan Debt To Equity Ratio “sehat”, pada tahun 2018 dapat dikatakan </w:t>
      </w:r>
      <w:r w:rsidRPr="00092739">
        <w:rPr>
          <w:i/>
          <w:sz w:val="24"/>
          <w:szCs w:val="24"/>
        </w:rPr>
        <w:t>Debt To Equity Ratio</w:t>
      </w:r>
      <w:r w:rsidRPr="00092739">
        <w:rPr>
          <w:sz w:val="24"/>
          <w:szCs w:val="24"/>
        </w:rPr>
        <w:t xml:space="preserve"> “sehat”, ditahun 2019 </w:t>
      </w:r>
      <w:r w:rsidRPr="00092739">
        <w:rPr>
          <w:i/>
          <w:sz w:val="24"/>
          <w:szCs w:val="24"/>
        </w:rPr>
        <w:t>Debt To Equity Ratio</w:t>
      </w:r>
      <w:r w:rsidRPr="00092739">
        <w:rPr>
          <w:sz w:val="24"/>
          <w:szCs w:val="24"/>
        </w:rPr>
        <w:t xml:space="preserve"> “sehat” ,dan pada tahun 2020 dapat dikatakan </w:t>
      </w:r>
      <w:r w:rsidRPr="00092739">
        <w:rPr>
          <w:i/>
          <w:sz w:val="24"/>
          <w:szCs w:val="24"/>
        </w:rPr>
        <w:t>Debt To Equity Ratio</w:t>
      </w:r>
      <w:r w:rsidRPr="00092739">
        <w:rPr>
          <w:sz w:val="24"/>
          <w:szCs w:val="24"/>
        </w:rPr>
        <w:t xml:space="preserve"> “sehat”.</w:t>
      </w:r>
    </w:p>
    <w:p w:rsidR="00092739" w:rsidRDefault="00092739" w:rsidP="00092739">
      <w:pPr>
        <w:spacing w:line="276" w:lineRule="auto"/>
        <w:jc w:val="both"/>
        <w:rPr>
          <w:sz w:val="22"/>
          <w:szCs w:val="24"/>
          <w:lang w:val="id-ID"/>
        </w:rPr>
      </w:pPr>
    </w:p>
    <w:p w:rsidR="00092739" w:rsidRDefault="00092739" w:rsidP="00092739">
      <w:pPr>
        <w:spacing w:after="200" w:line="276" w:lineRule="auto"/>
        <w:rPr>
          <w:b/>
          <w:i/>
          <w:sz w:val="22"/>
          <w:szCs w:val="24"/>
          <w:lang w:val="id-ID"/>
        </w:rPr>
      </w:pPr>
      <w:r w:rsidRPr="00092739">
        <w:rPr>
          <w:b/>
          <w:sz w:val="22"/>
          <w:szCs w:val="24"/>
        </w:rPr>
        <w:t xml:space="preserve">Perhitngan </w:t>
      </w:r>
      <w:r w:rsidRPr="00092739">
        <w:rPr>
          <w:b/>
          <w:i/>
          <w:sz w:val="22"/>
          <w:szCs w:val="24"/>
        </w:rPr>
        <w:t>Long Term Debt to Equity Ratio</w:t>
      </w:r>
    </w:p>
    <w:p w:rsidR="00092739" w:rsidRDefault="00092739" w:rsidP="00092739">
      <w:pPr>
        <w:jc w:val="center"/>
        <w:rPr>
          <w:b/>
          <w:szCs w:val="24"/>
          <w:lang w:val="id-ID"/>
        </w:rPr>
      </w:pPr>
      <w:r>
        <w:rPr>
          <w:b/>
          <w:szCs w:val="24"/>
        </w:rPr>
        <w:t xml:space="preserve">Tabel </w:t>
      </w:r>
      <w:r>
        <w:rPr>
          <w:b/>
          <w:szCs w:val="24"/>
          <w:lang w:val="id-ID"/>
        </w:rPr>
        <w:t>4</w:t>
      </w:r>
    </w:p>
    <w:p w:rsidR="00092739" w:rsidRPr="00092739" w:rsidRDefault="00092739" w:rsidP="00092739">
      <w:pPr>
        <w:spacing w:after="200" w:line="276" w:lineRule="auto"/>
        <w:jc w:val="center"/>
        <w:rPr>
          <w:b/>
          <w:i/>
          <w:szCs w:val="24"/>
          <w:lang w:val="id-ID"/>
        </w:rPr>
      </w:pPr>
      <w:r w:rsidRPr="00092739">
        <w:rPr>
          <w:b/>
          <w:szCs w:val="24"/>
          <w:lang w:val="id-ID"/>
        </w:rPr>
        <w:t>Total</w:t>
      </w:r>
      <w:r w:rsidRPr="00092739">
        <w:rPr>
          <w:b/>
          <w:i/>
          <w:szCs w:val="24"/>
          <w:lang w:val="id-ID"/>
        </w:rPr>
        <w:t xml:space="preserve"> </w:t>
      </w:r>
      <w:r w:rsidRPr="00092739">
        <w:rPr>
          <w:b/>
          <w:i/>
          <w:szCs w:val="24"/>
        </w:rPr>
        <w:t>Long Term Debt to Equity Ratio</w:t>
      </w:r>
    </w:p>
    <w:tbl>
      <w:tblPr>
        <w:tblStyle w:val="LightShading"/>
        <w:tblpPr w:leftFromText="180" w:rightFromText="180" w:vertAnchor="text" w:horzAnchor="margin" w:tblpY="166"/>
        <w:tblW w:w="4115" w:type="dxa"/>
        <w:tblLayout w:type="fixed"/>
        <w:tblLook w:val="04A0" w:firstRow="1" w:lastRow="0" w:firstColumn="1" w:lastColumn="0" w:noHBand="0" w:noVBand="1"/>
      </w:tblPr>
      <w:tblGrid>
        <w:gridCol w:w="835"/>
        <w:gridCol w:w="665"/>
        <w:gridCol w:w="639"/>
        <w:gridCol w:w="663"/>
        <w:gridCol w:w="660"/>
        <w:gridCol w:w="653"/>
      </w:tblGrid>
      <w:tr w:rsidR="00092739" w:rsidTr="00092739">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35" w:type="dxa"/>
          </w:tcPr>
          <w:p w:rsidR="00092739" w:rsidRPr="006455E5" w:rsidRDefault="00092739" w:rsidP="00092739">
            <w:pPr>
              <w:pStyle w:val="ListParagraph"/>
              <w:jc w:val="center"/>
              <w:rPr>
                <w:b w:val="0"/>
                <w:sz w:val="20"/>
                <w:szCs w:val="24"/>
              </w:rPr>
            </w:pPr>
            <w:r w:rsidRPr="006455E5">
              <w:rPr>
                <w:b w:val="0"/>
                <w:sz w:val="20"/>
                <w:szCs w:val="24"/>
              </w:rPr>
              <w:t>Tahun</w:t>
            </w:r>
          </w:p>
        </w:tc>
        <w:tc>
          <w:tcPr>
            <w:tcW w:w="665"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2016</w:t>
            </w:r>
          </w:p>
        </w:tc>
        <w:tc>
          <w:tcPr>
            <w:tcW w:w="639"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2017</w:t>
            </w:r>
          </w:p>
        </w:tc>
        <w:tc>
          <w:tcPr>
            <w:tcW w:w="663"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2018</w:t>
            </w:r>
          </w:p>
        </w:tc>
        <w:tc>
          <w:tcPr>
            <w:tcW w:w="660"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2019</w:t>
            </w:r>
          </w:p>
        </w:tc>
        <w:tc>
          <w:tcPr>
            <w:tcW w:w="653"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2020</w:t>
            </w:r>
          </w:p>
        </w:tc>
      </w:tr>
      <w:tr w:rsidR="00092739" w:rsidTr="0009273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5" w:type="dxa"/>
          </w:tcPr>
          <w:p w:rsidR="00092739" w:rsidRPr="006455E5" w:rsidRDefault="00092739" w:rsidP="00092739">
            <w:pPr>
              <w:pStyle w:val="ListParagraph"/>
              <w:jc w:val="center"/>
              <w:rPr>
                <w:b w:val="0"/>
                <w:sz w:val="20"/>
                <w:szCs w:val="24"/>
              </w:rPr>
            </w:pPr>
            <w:r w:rsidRPr="006455E5">
              <w:rPr>
                <w:b w:val="0"/>
                <w:sz w:val="20"/>
                <w:szCs w:val="24"/>
              </w:rPr>
              <w:t>Hasil</w:t>
            </w:r>
          </w:p>
          <w:p w:rsidR="00092739" w:rsidRPr="006455E5" w:rsidRDefault="00092739" w:rsidP="00092739">
            <w:pPr>
              <w:pStyle w:val="ListParagraph"/>
              <w:jc w:val="center"/>
              <w:rPr>
                <w:b w:val="0"/>
                <w:sz w:val="20"/>
                <w:szCs w:val="24"/>
              </w:rPr>
            </w:pPr>
            <w:r w:rsidRPr="006455E5">
              <w:rPr>
                <w:b w:val="0"/>
                <w:sz w:val="20"/>
                <w:szCs w:val="24"/>
              </w:rPr>
              <w:t>Perhitungan</w:t>
            </w:r>
          </w:p>
        </w:tc>
        <w:tc>
          <w:tcPr>
            <w:tcW w:w="665"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58,8</w:t>
            </w:r>
            <w:r w:rsidRPr="006455E5">
              <w:rPr>
                <w:b/>
                <w:sz w:val="20"/>
                <w:szCs w:val="24"/>
              </w:rPr>
              <w:t>%</w:t>
            </w:r>
          </w:p>
        </w:tc>
        <w:tc>
          <w:tcPr>
            <w:tcW w:w="639"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58,3</w:t>
            </w:r>
            <w:r w:rsidRPr="006455E5">
              <w:rPr>
                <w:b/>
                <w:sz w:val="20"/>
                <w:szCs w:val="24"/>
              </w:rPr>
              <w:t>%</w:t>
            </w:r>
          </w:p>
        </w:tc>
        <w:tc>
          <w:tcPr>
            <w:tcW w:w="663"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61,4</w:t>
            </w:r>
            <w:r w:rsidRPr="006455E5">
              <w:rPr>
                <w:b/>
                <w:sz w:val="20"/>
                <w:szCs w:val="24"/>
              </w:rPr>
              <w:t>%</w:t>
            </w:r>
          </w:p>
        </w:tc>
        <w:tc>
          <w:tcPr>
            <w:tcW w:w="660"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82,1</w:t>
            </w:r>
            <w:r w:rsidRPr="006455E5">
              <w:rPr>
                <w:b/>
                <w:sz w:val="20"/>
                <w:szCs w:val="24"/>
              </w:rPr>
              <w:t>%</w:t>
            </w:r>
          </w:p>
        </w:tc>
        <w:tc>
          <w:tcPr>
            <w:tcW w:w="653"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57,8</w:t>
            </w:r>
            <w:r w:rsidRPr="006455E5">
              <w:rPr>
                <w:b/>
                <w:sz w:val="20"/>
                <w:szCs w:val="24"/>
              </w:rPr>
              <w:t>%</w:t>
            </w:r>
          </w:p>
        </w:tc>
      </w:tr>
    </w:tbl>
    <w:p w:rsidR="00092739" w:rsidRDefault="00092739" w:rsidP="00092739">
      <w:pPr>
        <w:spacing w:line="276" w:lineRule="auto"/>
        <w:ind w:firstLine="720"/>
        <w:jc w:val="both"/>
        <w:rPr>
          <w:sz w:val="22"/>
          <w:szCs w:val="24"/>
          <w:lang w:val="id-ID"/>
        </w:rPr>
      </w:pPr>
    </w:p>
    <w:p w:rsidR="00092739" w:rsidRPr="00092739" w:rsidRDefault="00092739" w:rsidP="00092739">
      <w:pPr>
        <w:spacing w:line="276" w:lineRule="auto"/>
        <w:ind w:firstLine="720"/>
        <w:jc w:val="both"/>
        <w:rPr>
          <w:sz w:val="22"/>
          <w:szCs w:val="24"/>
        </w:rPr>
      </w:pPr>
      <w:r w:rsidRPr="00092739">
        <w:rPr>
          <w:sz w:val="22"/>
          <w:szCs w:val="24"/>
        </w:rPr>
        <w:t xml:space="preserve">Berdasarkan hasil perhitungan yang dilakukan dapat diketahui bahwa </w:t>
      </w:r>
      <w:r w:rsidRPr="00092739">
        <w:rPr>
          <w:i/>
          <w:sz w:val="22"/>
          <w:szCs w:val="24"/>
        </w:rPr>
        <w:t>Long Term Debt Equity Ratio</w:t>
      </w:r>
      <w:r w:rsidRPr="00092739">
        <w:rPr>
          <w:sz w:val="22"/>
          <w:szCs w:val="24"/>
        </w:rPr>
        <w:t xml:space="preserve"> pada tahun 2016 sebesar 9,69% pada tahun 2017 sebesar 10,4% lalu pada tahun 2018 </w:t>
      </w:r>
      <w:r w:rsidRPr="00092739">
        <w:rPr>
          <w:i/>
          <w:sz w:val="22"/>
          <w:szCs w:val="24"/>
        </w:rPr>
        <w:t xml:space="preserve">Long Term Debt Equity Ratio </w:t>
      </w:r>
      <w:r w:rsidRPr="00092739">
        <w:rPr>
          <w:sz w:val="22"/>
          <w:szCs w:val="24"/>
        </w:rPr>
        <w:t xml:space="preserve">sebesar 10,1% kemudian ditahun 2019 sebesar 9,7% dan pada tahun 2020 sebesar 9,8%. Jadi, dapat disimpulkan bahwa tingkat </w:t>
      </w:r>
      <w:r w:rsidRPr="00092739">
        <w:rPr>
          <w:i/>
          <w:sz w:val="22"/>
          <w:szCs w:val="24"/>
        </w:rPr>
        <w:t>Long Term Debt Equity Ratio</w:t>
      </w:r>
      <w:r w:rsidRPr="00092739">
        <w:rPr>
          <w:sz w:val="22"/>
          <w:szCs w:val="24"/>
        </w:rPr>
        <w:t xml:space="preserve"> di Bengkel LA (Linggau Advertising) kota lubuklinggau ,dapat diidentifikasikan bahwa perhitungan </w:t>
      </w:r>
      <w:r w:rsidRPr="00092739">
        <w:rPr>
          <w:i/>
          <w:sz w:val="22"/>
          <w:szCs w:val="24"/>
        </w:rPr>
        <w:t>Long Term Debt Equity Ratio</w:t>
      </w:r>
      <w:r w:rsidRPr="00092739">
        <w:rPr>
          <w:sz w:val="22"/>
          <w:szCs w:val="24"/>
        </w:rPr>
        <w:t xml:space="preserve"> di Bengkel LA (Linggau </w:t>
      </w:r>
      <w:r w:rsidRPr="00092739">
        <w:rPr>
          <w:i/>
          <w:sz w:val="22"/>
          <w:szCs w:val="24"/>
        </w:rPr>
        <w:t>Advertising</w:t>
      </w:r>
      <w:r w:rsidRPr="00092739">
        <w:rPr>
          <w:sz w:val="22"/>
          <w:szCs w:val="24"/>
        </w:rPr>
        <w:t xml:space="preserve">) kota lubuklinggau pada tahun 2016 dapat dikatakan </w:t>
      </w:r>
      <w:r w:rsidRPr="00092739">
        <w:rPr>
          <w:i/>
          <w:sz w:val="22"/>
          <w:szCs w:val="24"/>
        </w:rPr>
        <w:t>Long Term Debt Equity Ratio</w:t>
      </w:r>
      <w:r w:rsidRPr="00092739">
        <w:rPr>
          <w:sz w:val="22"/>
          <w:szCs w:val="24"/>
        </w:rPr>
        <w:t xml:space="preserve"> “sehat” pada tahun 2017 </w:t>
      </w:r>
      <w:r w:rsidRPr="00092739">
        <w:rPr>
          <w:i/>
          <w:sz w:val="22"/>
          <w:szCs w:val="24"/>
        </w:rPr>
        <w:t>Long Term Debt Equity Ratio</w:t>
      </w:r>
      <w:r w:rsidRPr="00092739">
        <w:rPr>
          <w:sz w:val="22"/>
          <w:szCs w:val="24"/>
        </w:rPr>
        <w:t xml:space="preserve"> dikatakan “sehat” pada tahun 2018 dikatakan </w:t>
      </w:r>
      <w:r w:rsidRPr="00092739">
        <w:rPr>
          <w:i/>
          <w:sz w:val="22"/>
          <w:szCs w:val="24"/>
        </w:rPr>
        <w:t xml:space="preserve">Long Term Debt Equity </w:t>
      </w:r>
      <w:r w:rsidRPr="00092739">
        <w:rPr>
          <w:i/>
          <w:sz w:val="22"/>
          <w:szCs w:val="24"/>
        </w:rPr>
        <w:lastRenderedPageBreak/>
        <w:t>Ratio</w:t>
      </w:r>
      <w:r w:rsidRPr="00092739">
        <w:rPr>
          <w:sz w:val="22"/>
          <w:szCs w:val="24"/>
        </w:rPr>
        <w:t xml:space="preserve"> “sehat” pada tahun 2019 Long Term </w:t>
      </w:r>
      <w:r w:rsidRPr="00092739">
        <w:rPr>
          <w:i/>
          <w:sz w:val="22"/>
          <w:szCs w:val="24"/>
        </w:rPr>
        <w:t>Debt Equity Ratio</w:t>
      </w:r>
      <w:r w:rsidRPr="00092739">
        <w:rPr>
          <w:sz w:val="22"/>
          <w:szCs w:val="24"/>
        </w:rPr>
        <w:t xml:space="preserve"> “sehat” pada tahun 2020 </w:t>
      </w:r>
      <w:r w:rsidRPr="00092739">
        <w:rPr>
          <w:i/>
          <w:sz w:val="22"/>
          <w:szCs w:val="24"/>
        </w:rPr>
        <w:t>Long Term</w:t>
      </w:r>
      <w:r w:rsidRPr="00092739">
        <w:rPr>
          <w:sz w:val="22"/>
          <w:szCs w:val="24"/>
        </w:rPr>
        <w:t xml:space="preserve"> </w:t>
      </w:r>
      <w:r w:rsidRPr="00092739">
        <w:rPr>
          <w:i/>
          <w:sz w:val="22"/>
          <w:szCs w:val="24"/>
        </w:rPr>
        <w:t>Debt Equity Ratio</w:t>
      </w:r>
      <w:r w:rsidRPr="00092739">
        <w:rPr>
          <w:sz w:val="22"/>
          <w:szCs w:val="24"/>
        </w:rPr>
        <w:t xml:space="preserve"> “sehat”.</w:t>
      </w:r>
    </w:p>
    <w:p w:rsidR="00092739" w:rsidRDefault="00092739" w:rsidP="00092739">
      <w:pPr>
        <w:spacing w:line="276" w:lineRule="auto"/>
        <w:ind w:firstLine="720"/>
        <w:jc w:val="both"/>
        <w:rPr>
          <w:sz w:val="22"/>
          <w:szCs w:val="24"/>
          <w:lang w:val="id-ID"/>
        </w:rPr>
      </w:pPr>
      <w:r w:rsidRPr="00092739">
        <w:rPr>
          <w:sz w:val="22"/>
          <w:szCs w:val="24"/>
        </w:rPr>
        <w:t xml:space="preserve"> </w:t>
      </w:r>
    </w:p>
    <w:p w:rsidR="00092739" w:rsidRDefault="00092739" w:rsidP="00092739">
      <w:pPr>
        <w:spacing w:line="276" w:lineRule="auto"/>
        <w:jc w:val="both"/>
        <w:rPr>
          <w:b/>
          <w:i/>
          <w:sz w:val="24"/>
          <w:szCs w:val="24"/>
          <w:lang w:val="id-ID"/>
        </w:rPr>
      </w:pPr>
      <w:r w:rsidRPr="000710C9">
        <w:rPr>
          <w:b/>
          <w:sz w:val="24"/>
          <w:szCs w:val="24"/>
        </w:rPr>
        <w:t xml:space="preserve">Perhitungan </w:t>
      </w:r>
      <w:r w:rsidRPr="000710C9">
        <w:rPr>
          <w:b/>
          <w:i/>
          <w:sz w:val="24"/>
          <w:szCs w:val="24"/>
        </w:rPr>
        <w:t xml:space="preserve">Return </w:t>
      </w:r>
      <w:proofErr w:type="gramStart"/>
      <w:r w:rsidRPr="000710C9">
        <w:rPr>
          <w:b/>
          <w:i/>
          <w:sz w:val="24"/>
          <w:szCs w:val="24"/>
        </w:rPr>
        <w:t>On</w:t>
      </w:r>
      <w:proofErr w:type="gramEnd"/>
      <w:r w:rsidRPr="000710C9">
        <w:rPr>
          <w:b/>
          <w:i/>
          <w:sz w:val="24"/>
          <w:szCs w:val="24"/>
        </w:rPr>
        <w:t xml:space="preserve"> Asset</w:t>
      </w:r>
    </w:p>
    <w:p w:rsidR="00092739" w:rsidRDefault="00092739" w:rsidP="00092739">
      <w:pPr>
        <w:jc w:val="center"/>
        <w:rPr>
          <w:b/>
          <w:szCs w:val="24"/>
          <w:lang w:val="id-ID"/>
        </w:rPr>
      </w:pPr>
    </w:p>
    <w:p w:rsidR="00092739" w:rsidRPr="00092739" w:rsidRDefault="00092739" w:rsidP="00092739">
      <w:pPr>
        <w:jc w:val="center"/>
        <w:rPr>
          <w:b/>
          <w:szCs w:val="24"/>
          <w:lang w:val="id-ID"/>
        </w:rPr>
      </w:pPr>
      <w:r>
        <w:rPr>
          <w:b/>
          <w:szCs w:val="24"/>
        </w:rPr>
        <w:t xml:space="preserve">Tabel </w:t>
      </w:r>
      <w:r>
        <w:rPr>
          <w:b/>
          <w:szCs w:val="24"/>
          <w:lang w:val="id-ID"/>
        </w:rPr>
        <w:t>5</w:t>
      </w:r>
    </w:p>
    <w:p w:rsidR="00092739" w:rsidRPr="00092739" w:rsidRDefault="00092739" w:rsidP="00092739">
      <w:pPr>
        <w:jc w:val="center"/>
        <w:rPr>
          <w:b/>
          <w:szCs w:val="24"/>
          <w:lang w:val="id-ID"/>
        </w:rPr>
      </w:pPr>
      <w:r w:rsidRPr="006455E5">
        <w:rPr>
          <w:b/>
          <w:szCs w:val="24"/>
        </w:rPr>
        <w:t xml:space="preserve">Total </w:t>
      </w:r>
      <w:r w:rsidRPr="00092739">
        <w:rPr>
          <w:b/>
          <w:i/>
          <w:szCs w:val="24"/>
          <w:lang w:val="id-ID"/>
        </w:rPr>
        <w:t xml:space="preserve">Return </w:t>
      </w:r>
      <w:proofErr w:type="gramStart"/>
      <w:r w:rsidRPr="00092739">
        <w:rPr>
          <w:b/>
          <w:i/>
          <w:szCs w:val="24"/>
          <w:lang w:val="id-ID"/>
        </w:rPr>
        <w:t>On</w:t>
      </w:r>
      <w:proofErr w:type="gramEnd"/>
      <w:r w:rsidRPr="00092739">
        <w:rPr>
          <w:b/>
          <w:i/>
          <w:szCs w:val="24"/>
          <w:lang w:val="id-ID"/>
        </w:rPr>
        <w:t xml:space="preserve"> Asset</w:t>
      </w:r>
    </w:p>
    <w:tbl>
      <w:tblPr>
        <w:tblStyle w:val="LightShading"/>
        <w:tblpPr w:leftFromText="180" w:rightFromText="180" w:vertAnchor="text" w:horzAnchor="margin" w:tblpXSpec="right" w:tblpY="190"/>
        <w:tblW w:w="4115" w:type="dxa"/>
        <w:tblLayout w:type="fixed"/>
        <w:tblLook w:val="04A0" w:firstRow="1" w:lastRow="0" w:firstColumn="1" w:lastColumn="0" w:noHBand="0" w:noVBand="1"/>
      </w:tblPr>
      <w:tblGrid>
        <w:gridCol w:w="835"/>
        <w:gridCol w:w="665"/>
        <w:gridCol w:w="639"/>
        <w:gridCol w:w="663"/>
        <w:gridCol w:w="660"/>
        <w:gridCol w:w="653"/>
      </w:tblGrid>
      <w:tr w:rsidR="00092739" w:rsidTr="00092739">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35" w:type="dxa"/>
          </w:tcPr>
          <w:p w:rsidR="00092739" w:rsidRPr="006455E5" w:rsidRDefault="00092739" w:rsidP="00092739">
            <w:pPr>
              <w:pStyle w:val="ListParagraph"/>
              <w:jc w:val="center"/>
              <w:rPr>
                <w:b w:val="0"/>
                <w:sz w:val="20"/>
                <w:szCs w:val="24"/>
              </w:rPr>
            </w:pPr>
            <w:r w:rsidRPr="006455E5">
              <w:rPr>
                <w:b w:val="0"/>
                <w:sz w:val="20"/>
                <w:szCs w:val="24"/>
              </w:rPr>
              <w:t>Tahun</w:t>
            </w:r>
          </w:p>
        </w:tc>
        <w:tc>
          <w:tcPr>
            <w:tcW w:w="665"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2016</w:t>
            </w:r>
          </w:p>
        </w:tc>
        <w:tc>
          <w:tcPr>
            <w:tcW w:w="639"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2017</w:t>
            </w:r>
          </w:p>
        </w:tc>
        <w:tc>
          <w:tcPr>
            <w:tcW w:w="663"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2018</w:t>
            </w:r>
          </w:p>
        </w:tc>
        <w:tc>
          <w:tcPr>
            <w:tcW w:w="660"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2019</w:t>
            </w:r>
          </w:p>
        </w:tc>
        <w:tc>
          <w:tcPr>
            <w:tcW w:w="653"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2020</w:t>
            </w:r>
          </w:p>
        </w:tc>
      </w:tr>
      <w:tr w:rsidR="00092739" w:rsidTr="0009273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5" w:type="dxa"/>
          </w:tcPr>
          <w:p w:rsidR="00092739" w:rsidRPr="006455E5" w:rsidRDefault="00092739" w:rsidP="00092739">
            <w:pPr>
              <w:pStyle w:val="ListParagraph"/>
              <w:jc w:val="center"/>
              <w:rPr>
                <w:b w:val="0"/>
                <w:sz w:val="20"/>
                <w:szCs w:val="24"/>
              </w:rPr>
            </w:pPr>
            <w:r w:rsidRPr="006455E5">
              <w:rPr>
                <w:b w:val="0"/>
                <w:sz w:val="20"/>
                <w:szCs w:val="24"/>
              </w:rPr>
              <w:t>Hasil</w:t>
            </w:r>
          </w:p>
          <w:p w:rsidR="00092739" w:rsidRPr="006455E5" w:rsidRDefault="00092739" w:rsidP="00092739">
            <w:pPr>
              <w:pStyle w:val="ListParagraph"/>
              <w:jc w:val="center"/>
              <w:rPr>
                <w:b w:val="0"/>
                <w:sz w:val="20"/>
                <w:szCs w:val="24"/>
              </w:rPr>
            </w:pPr>
            <w:r w:rsidRPr="006455E5">
              <w:rPr>
                <w:b w:val="0"/>
                <w:sz w:val="20"/>
                <w:szCs w:val="24"/>
              </w:rPr>
              <w:t>Perhitungan</w:t>
            </w:r>
          </w:p>
        </w:tc>
        <w:tc>
          <w:tcPr>
            <w:tcW w:w="665"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9</w:t>
            </w:r>
            <w:r>
              <w:rPr>
                <w:b/>
                <w:sz w:val="20"/>
                <w:szCs w:val="24"/>
              </w:rPr>
              <w:t>,</w:t>
            </w:r>
            <w:r>
              <w:rPr>
                <w:b/>
                <w:sz w:val="20"/>
                <w:szCs w:val="24"/>
                <w:lang w:val="id-ID"/>
              </w:rPr>
              <w:t>69</w:t>
            </w:r>
            <w:r w:rsidRPr="006455E5">
              <w:rPr>
                <w:b/>
                <w:sz w:val="20"/>
                <w:szCs w:val="24"/>
              </w:rPr>
              <w:t>%</w:t>
            </w:r>
          </w:p>
        </w:tc>
        <w:tc>
          <w:tcPr>
            <w:tcW w:w="639"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10</w:t>
            </w:r>
            <w:r w:rsidRPr="006455E5">
              <w:rPr>
                <w:b/>
                <w:sz w:val="20"/>
                <w:szCs w:val="24"/>
              </w:rPr>
              <w:t>,4%</w:t>
            </w:r>
          </w:p>
        </w:tc>
        <w:tc>
          <w:tcPr>
            <w:tcW w:w="663"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10,1</w:t>
            </w:r>
            <w:r w:rsidRPr="006455E5">
              <w:rPr>
                <w:b/>
                <w:sz w:val="20"/>
                <w:szCs w:val="24"/>
              </w:rPr>
              <w:t>%</w:t>
            </w:r>
          </w:p>
        </w:tc>
        <w:tc>
          <w:tcPr>
            <w:tcW w:w="660"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9,7</w:t>
            </w:r>
            <w:r w:rsidRPr="006455E5">
              <w:rPr>
                <w:b/>
                <w:sz w:val="20"/>
                <w:szCs w:val="24"/>
              </w:rPr>
              <w:t>%</w:t>
            </w:r>
          </w:p>
        </w:tc>
        <w:tc>
          <w:tcPr>
            <w:tcW w:w="653"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9,8</w:t>
            </w:r>
            <w:r w:rsidRPr="006455E5">
              <w:rPr>
                <w:b/>
                <w:sz w:val="20"/>
                <w:szCs w:val="24"/>
              </w:rPr>
              <w:t>%</w:t>
            </w:r>
          </w:p>
        </w:tc>
      </w:tr>
    </w:tbl>
    <w:p w:rsidR="00092739" w:rsidRDefault="00092739" w:rsidP="00092739">
      <w:pPr>
        <w:jc w:val="both"/>
        <w:rPr>
          <w:sz w:val="22"/>
          <w:szCs w:val="24"/>
          <w:lang w:val="id-ID"/>
        </w:rPr>
      </w:pPr>
    </w:p>
    <w:p w:rsidR="00092739" w:rsidRPr="00092739" w:rsidRDefault="00092739" w:rsidP="00092739">
      <w:pPr>
        <w:spacing w:line="276" w:lineRule="auto"/>
        <w:ind w:firstLine="720"/>
        <w:jc w:val="both"/>
        <w:rPr>
          <w:sz w:val="22"/>
          <w:szCs w:val="24"/>
        </w:rPr>
      </w:pPr>
      <w:r w:rsidRPr="00092739">
        <w:rPr>
          <w:sz w:val="22"/>
          <w:szCs w:val="24"/>
        </w:rPr>
        <w:t xml:space="preserve">Berdasarkan hasil perhitungan yang dilakukan dapat diketahui bahwa </w:t>
      </w:r>
      <w:r w:rsidRPr="00092739">
        <w:rPr>
          <w:i/>
          <w:sz w:val="22"/>
          <w:szCs w:val="24"/>
        </w:rPr>
        <w:t>Return On Asset</w:t>
      </w:r>
      <w:r w:rsidRPr="00092739">
        <w:rPr>
          <w:sz w:val="22"/>
          <w:szCs w:val="24"/>
        </w:rPr>
        <w:t xml:space="preserve"> pada tahun 2016 sebesar 58,8% pada tahun 2017 </w:t>
      </w:r>
      <w:r w:rsidRPr="00092739">
        <w:rPr>
          <w:i/>
          <w:sz w:val="22"/>
          <w:szCs w:val="24"/>
        </w:rPr>
        <w:t>Return On Asset</w:t>
      </w:r>
      <w:r w:rsidRPr="00092739">
        <w:rPr>
          <w:sz w:val="22"/>
          <w:szCs w:val="24"/>
        </w:rPr>
        <w:t xml:space="preserve">  menjadi 58,3% kemudian ditahun 2018 Return On Asset naik menjadi 61,4% pada tahun 2019 Return On Asset menurun menjadi 82,1% dan ditahun 2020 </w:t>
      </w:r>
      <w:r w:rsidRPr="00092739">
        <w:rPr>
          <w:i/>
          <w:sz w:val="22"/>
          <w:szCs w:val="24"/>
        </w:rPr>
        <w:t>Return On Asset</w:t>
      </w:r>
      <w:r w:rsidRPr="00092739">
        <w:rPr>
          <w:sz w:val="22"/>
          <w:szCs w:val="24"/>
        </w:rPr>
        <w:t xml:space="preserve"> menjadi 57,8%. Jadi, dapat disimpulkan bahwa tingkat </w:t>
      </w:r>
      <w:r w:rsidRPr="00092739">
        <w:rPr>
          <w:i/>
          <w:sz w:val="22"/>
          <w:szCs w:val="24"/>
        </w:rPr>
        <w:t>Return On Equity</w:t>
      </w:r>
      <w:r w:rsidRPr="00092739">
        <w:rPr>
          <w:sz w:val="22"/>
          <w:szCs w:val="24"/>
        </w:rPr>
        <w:t xml:space="preserve"> di Bengkel LA (Linggau </w:t>
      </w:r>
      <w:r w:rsidRPr="00092739">
        <w:rPr>
          <w:i/>
          <w:sz w:val="22"/>
          <w:szCs w:val="24"/>
        </w:rPr>
        <w:t>Advertising)</w:t>
      </w:r>
      <w:r w:rsidRPr="00092739">
        <w:rPr>
          <w:sz w:val="22"/>
          <w:szCs w:val="24"/>
        </w:rPr>
        <w:t xml:space="preserve"> kota lubuklinggau, dapat diindentifikasikan bahwa perhitungan </w:t>
      </w:r>
      <w:r w:rsidRPr="00092739">
        <w:rPr>
          <w:i/>
          <w:sz w:val="22"/>
          <w:szCs w:val="24"/>
        </w:rPr>
        <w:t>Return On Equity</w:t>
      </w:r>
      <w:r w:rsidRPr="00092739">
        <w:rPr>
          <w:sz w:val="22"/>
          <w:szCs w:val="24"/>
        </w:rPr>
        <w:t xml:space="preserve"> di Bengkel LA (Linggau </w:t>
      </w:r>
      <w:r w:rsidRPr="00092739">
        <w:rPr>
          <w:i/>
          <w:sz w:val="22"/>
          <w:szCs w:val="24"/>
        </w:rPr>
        <w:t>Advertising</w:t>
      </w:r>
      <w:r w:rsidRPr="00092739">
        <w:rPr>
          <w:sz w:val="22"/>
          <w:szCs w:val="24"/>
        </w:rPr>
        <w:t xml:space="preserve">) kota lubuklinggau pada tahun 2016 dapat dikatakan Return On Asset “sehat” pada tahun 2017dapat dikatakan </w:t>
      </w:r>
      <w:r w:rsidRPr="00092739">
        <w:rPr>
          <w:i/>
          <w:sz w:val="22"/>
          <w:szCs w:val="24"/>
        </w:rPr>
        <w:t>Return On Asset</w:t>
      </w:r>
      <w:r w:rsidRPr="00092739">
        <w:rPr>
          <w:sz w:val="22"/>
          <w:szCs w:val="24"/>
        </w:rPr>
        <w:t xml:space="preserve"> “sehat” pada tahun 2018 dapat dikatakan </w:t>
      </w:r>
      <w:r w:rsidRPr="00092739">
        <w:rPr>
          <w:i/>
          <w:sz w:val="22"/>
          <w:szCs w:val="24"/>
        </w:rPr>
        <w:t>Return On Asset</w:t>
      </w:r>
      <w:r w:rsidRPr="00092739">
        <w:rPr>
          <w:sz w:val="22"/>
          <w:szCs w:val="24"/>
        </w:rPr>
        <w:t xml:space="preserve"> “sehat” ditahun 2019 dapat dikatakan </w:t>
      </w:r>
      <w:r w:rsidRPr="00092739">
        <w:rPr>
          <w:i/>
          <w:sz w:val="22"/>
          <w:szCs w:val="24"/>
        </w:rPr>
        <w:t>Return On Asset</w:t>
      </w:r>
      <w:r w:rsidRPr="00092739">
        <w:rPr>
          <w:sz w:val="22"/>
          <w:szCs w:val="24"/>
        </w:rPr>
        <w:t xml:space="preserve"> “cukup sehat” dan pada tahun 2020 dapat dikatakan </w:t>
      </w:r>
      <w:r w:rsidRPr="00092739">
        <w:rPr>
          <w:i/>
          <w:sz w:val="22"/>
          <w:szCs w:val="24"/>
        </w:rPr>
        <w:t>Return On Asset</w:t>
      </w:r>
      <w:r w:rsidRPr="00092739">
        <w:rPr>
          <w:sz w:val="22"/>
          <w:szCs w:val="24"/>
        </w:rPr>
        <w:t xml:space="preserve"> “sehat”</w:t>
      </w:r>
    </w:p>
    <w:p w:rsidR="00092739" w:rsidRPr="00092739" w:rsidRDefault="00092739" w:rsidP="00092739">
      <w:pPr>
        <w:spacing w:line="276" w:lineRule="auto"/>
        <w:jc w:val="both"/>
        <w:rPr>
          <w:b/>
          <w:sz w:val="24"/>
          <w:szCs w:val="24"/>
          <w:lang w:val="id-ID"/>
        </w:rPr>
      </w:pPr>
    </w:p>
    <w:p w:rsidR="00092739" w:rsidRDefault="00092739" w:rsidP="006455E5">
      <w:pPr>
        <w:spacing w:after="200" w:line="276" w:lineRule="auto"/>
        <w:rPr>
          <w:b/>
          <w:sz w:val="22"/>
          <w:szCs w:val="24"/>
          <w:lang w:val="id-ID"/>
        </w:rPr>
      </w:pPr>
    </w:p>
    <w:p w:rsidR="00791B13" w:rsidRPr="004E124A" w:rsidRDefault="00791B13" w:rsidP="004E124A">
      <w:pPr>
        <w:spacing w:line="276" w:lineRule="auto"/>
        <w:ind w:left="851" w:firstLine="709"/>
        <w:jc w:val="both"/>
        <w:rPr>
          <w:rFonts w:eastAsiaTheme="minorEastAsia"/>
          <w:b/>
          <w:sz w:val="22"/>
          <w:szCs w:val="24"/>
        </w:rPr>
      </w:pPr>
    </w:p>
    <w:p w:rsidR="00791B13" w:rsidRPr="004E124A" w:rsidRDefault="00791B13" w:rsidP="004E124A">
      <w:pPr>
        <w:spacing w:line="276" w:lineRule="auto"/>
        <w:ind w:left="851" w:firstLine="709"/>
        <w:jc w:val="both"/>
        <w:rPr>
          <w:rFonts w:eastAsiaTheme="minorEastAsia"/>
          <w:b/>
          <w:sz w:val="22"/>
          <w:szCs w:val="24"/>
        </w:rPr>
      </w:pPr>
    </w:p>
    <w:p w:rsidR="00791B13" w:rsidRPr="00092739" w:rsidRDefault="00791B13" w:rsidP="00791B13">
      <w:pPr>
        <w:spacing w:line="480" w:lineRule="auto"/>
        <w:ind w:left="851" w:firstLine="709"/>
        <w:jc w:val="both"/>
        <w:rPr>
          <w:rFonts w:eastAsiaTheme="minorEastAsia"/>
          <w:b/>
          <w:sz w:val="24"/>
          <w:szCs w:val="24"/>
          <w:lang w:val="id-ID"/>
        </w:rPr>
      </w:pPr>
    </w:p>
    <w:p w:rsidR="00791B13" w:rsidRPr="0045306A" w:rsidRDefault="00791B13" w:rsidP="00791B13">
      <w:pPr>
        <w:spacing w:line="480" w:lineRule="auto"/>
        <w:ind w:left="851" w:firstLine="709"/>
        <w:jc w:val="both"/>
        <w:rPr>
          <w:rFonts w:eastAsiaTheme="minorEastAsia"/>
          <w:b/>
          <w:sz w:val="24"/>
          <w:szCs w:val="24"/>
        </w:rPr>
      </w:pPr>
    </w:p>
    <w:p w:rsidR="00791B13" w:rsidRDefault="00791B13" w:rsidP="00791B13">
      <w:pPr>
        <w:spacing w:line="480" w:lineRule="auto"/>
        <w:rPr>
          <w:rFonts w:eastAsiaTheme="minorEastAsia"/>
          <w:sz w:val="24"/>
          <w:szCs w:val="24"/>
        </w:rPr>
      </w:pPr>
    </w:p>
    <w:p w:rsidR="00791B13" w:rsidRPr="00092739" w:rsidRDefault="00791B13" w:rsidP="00791B13">
      <w:pPr>
        <w:spacing w:line="276" w:lineRule="auto"/>
        <w:jc w:val="both"/>
        <w:rPr>
          <w:b/>
          <w:lang w:val="id-ID"/>
        </w:rPr>
        <w:sectPr w:rsidR="00791B13" w:rsidRPr="00092739" w:rsidSect="008E6B6E">
          <w:footerReference w:type="default" r:id="rId24"/>
          <w:type w:val="continuous"/>
          <w:pgSz w:w="11906" w:h="16838" w:code="9"/>
          <w:pgMar w:top="1701" w:right="1701" w:bottom="1701" w:left="1701" w:header="850" w:footer="709" w:gutter="0"/>
          <w:cols w:num="2" w:space="567"/>
          <w:docGrid w:linePitch="360"/>
        </w:sectPr>
      </w:pPr>
    </w:p>
    <w:p w:rsidR="00092739" w:rsidRPr="00092739" w:rsidRDefault="00092739" w:rsidP="00092739">
      <w:pPr>
        <w:spacing w:line="276" w:lineRule="auto"/>
        <w:ind w:firstLine="720"/>
        <w:jc w:val="both"/>
        <w:rPr>
          <w:sz w:val="22"/>
          <w:szCs w:val="24"/>
          <w:lang w:val="id-ID"/>
        </w:rPr>
      </w:pPr>
    </w:p>
    <w:p w:rsidR="00092739" w:rsidRDefault="00092739" w:rsidP="00092739">
      <w:pPr>
        <w:spacing w:line="276" w:lineRule="auto"/>
        <w:jc w:val="both"/>
        <w:rPr>
          <w:sz w:val="22"/>
          <w:szCs w:val="24"/>
          <w:lang w:val="id-ID"/>
        </w:rPr>
      </w:pPr>
    </w:p>
    <w:p w:rsidR="00080BD7" w:rsidRPr="00080BD7" w:rsidRDefault="00092739" w:rsidP="00092739">
      <w:pPr>
        <w:spacing w:line="276" w:lineRule="auto"/>
        <w:jc w:val="both"/>
        <w:rPr>
          <w:b/>
          <w:i/>
          <w:sz w:val="24"/>
          <w:szCs w:val="24"/>
          <w:lang w:val="id-ID"/>
        </w:rPr>
        <w:sectPr w:rsidR="00080BD7" w:rsidRPr="00080BD7" w:rsidSect="00080BD7">
          <w:footerReference w:type="default" r:id="rId25"/>
          <w:type w:val="continuous"/>
          <w:pgSz w:w="11906" w:h="16838" w:code="9"/>
          <w:pgMar w:top="1701" w:right="1701" w:bottom="1701" w:left="1701" w:header="850" w:footer="709" w:gutter="0"/>
          <w:cols w:num="2" w:space="708"/>
          <w:docGrid w:linePitch="360"/>
        </w:sectPr>
      </w:pPr>
      <w:r>
        <w:rPr>
          <w:b/>
          <w:sz w:val="24"/>
          <w:szCs w:val="24"/>
          <w:lang w:val="id-ID"/>
        </w:rPr>
        <w:lastRenderedPageBreak/>
        <w:t xml:space="preserve">Perhitungan </w:t>
      </w:r>
      <w:r w:rsidRPr="00171048">
        <w:rPr>
          <w:b/>
          <w:i/>
          <w:sz w:val="24"/>
          <w:szCs w:val="24"/>
        </w:rPr>
        <w:t>Return On Equity</w:t>
      </w:r>
    </w:p>
    <w:p w:rsidR="00080BD7" w:rsidRDefault="00080BD7" w:rsidP="00080BD7">
      <w:pPr>
        <w:rPr>
          <w:b/>
          <w:szCs w:val="24"/>
          <w:lang w:val="id-ID"/>
        </w:rPr>
        <w:sectPr w:rsidR="00080BD7" w:rsidSect="00080BD7">
          <w:type w:val="continuous"/>
          <w:pgSz w:w="11906" w:h="16838" w:code="9"/>
          <w:pgMar w:top="1701" w:right="1701" w:bottom="1701" w:left="1701" w:header="850" w:footer="709" w:gutter="0"/>
          <w:cols w:num="2" w:space="567"/>
          <w:docGrid w:linePitch="360"/>
        </w:sectPr>
      </w:pPr>
    </w:p>
    <w:p w:rsidR="00092739" w:rsidRDefault="00092739" w:rsidP="00080BD7">
      <w:pPr>
        <w:rPr>
          <w:b/>
          <w:szCs w:val="24"/>
          <w:lang w:val="id-ID"/>
        </w:rPr>
      </w:pPr>
    </w:p>
    <w:p w:rsidR="00092739" w:rsidRDefault="00092739" w:rsidP="00092739">
      <w:pPr>
        <w:jc w:val="center"/>
        <w:rPr>
          <w:b/>
          <w:szCs w:val="24"/>
          <w:lang w:val="id-ID"/>
        </w:rPr>
      </w:pPr>
      <w:r>
        <w:rPr>
          <w:b/>
          <w:szCs w:val="24"/>
        </w:rPr>
        <w:t xml:space="preserve">Tabel </w:t>
      </w:r>
      <w:r w:rsidR="00521934">
        <w:rPr>
          <w:b/>
          <w:szCs w:val="24"/>
          <w:lang w:val="id-ID"/>
        </w:rPr>
        <w:t>6</w:t>
      </w:r>
    </w:p>
    <w:p w:rsidR="00092739" w:rsidRPr="00092739" w:rsidRDefault="00092739" w:rsidP="00092739">
      <w:pPr>
        <w:jc w:val="center"/>
        <w:rPr>
          <w:b/>
          <w:szCs w:val="24"/>
          <w:lang w:val="id-ID"/>
        </w:rPr>
      </w:pPr>
      <w:r w:rsidRPr="00092739">
        <w:rPr>
          <w:b/>
          <w:sz w:val="22"/>
          <w:szCs w:val="24"/>
          <w:lang w:val="id-ID"/>
        </w:rPr>
        <w:t xml:space="preserve">Total </w:t>
      </w:r>
      <w:r w:rsidRPr="00092739">
        <w:rPr>
          <w:b/>
          <w:i/>
          <w:sz w:val="22"/>
          <w:szCs w:val="24"/>
        </w:rPr>
        <w:t>Return On Equity</w:t>
      </w:r>
    </w:p>
    <w:tbl>
      <w:tblPr>
        <w:tblStyle w:val="LightShading"/>
        <w:tblpPr w:leftFromText="180" w:rightFromText="180" w:vertAnchor="text" w:horzAnchor="margin" w:tblpY="187"/>
        <w:tblW w:w="4115" w:type="dxa"/>
        <w:tblLayout w:type="fixed"/>
        <w:tblLook w:val="04A0" w:firstRow="1" w:lastRow="0" w:firstColumn="1" w:lastColumn="0" w:noHBand="0" w:noVBand="1"/>
      </w:tblPr>
      <w:tblGrid>
        <w:gridCol w:w="835"/>
        <w:gridCol w:w="665"/>
        <w:gridCol w:w="639"/>
        <w:gridCol w:w="663"/>
        <w:gridCol w:w="660"/>
        <w:gridCol w:w="653"/>
      </w:tblGrid>
      <w:tr w:rsidR="00092739" w:rsidTr="00092739">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35" w:type="dxa"/>
          </w:tcPr>
          <w:p w:rsidR="00092739" w:rsidRPr="006455E5" w:rsidRDefault="00092739" w:rsidP="00092739">
            <w:pPr>
              <w:pStyle w:val="ListParagraph"/>
              <w:jc w:val="center"/>
              <w:rPr>
                <w:b w:val="0"/>
                <w:sz w:val="20"/>
                <w:szCs w:val="24"/>
              </w:rPr>
            </w:pPr>
            <w:r w:rsidRPr="006455E5">
              <w:rPr>
                <w:b w:val="0"/>
                <w:sz w:val="20"/>
                <w:szCs w:val="24"/>
              </w:rPr>
              <w:t>Tahun</w:t>
            </w:r>
          </w:p>
        </w:tc>
        <w:tc>
          <w:tcPr>
            <w:tcW w:w="665"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2016</w:t>
            </w:r>
          </w:p>
        </w:tc>
        <w:tc>
          <w:tcPr>
            <w:tcW w:w="639"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2017</w:t>
            </w:r>
          </w:p>
        </w:tc>
        <w:tc>
          <w:tcPr>
            <w:tcW w:w="663"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2018</w:t>
            </w:r>
          </w:p>
        </w:tc>
        <w:tc>
          <w:tcPr>
            <w:tcW w:w="660"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2019</w:t>
            </w:r>
          </w:p>
        </w:tc>
        <w:tc>
          <w:tcPr>
            <w:tcW w:w="653" w:type="dxa"/>
          </w:tcPr>
          <w:p w:rsidR="00092739" w:rsidRPr="006455E5" w:rsidRDefault="00092739" w:rsidP="00092739">
            <w:pPr>
              <w:pStyle w:val="ListParagraph"/>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6455E5">
              <w:rPr>
                <w:b w:val="0"/>
                <w:sz w:val="20"/>
                <w:szCs w:val="24"/>
              </w:rPr>
              <w:t>2020</w:t>
            </w:r>
          </w:p>
        </w:tc>
      </w:tr>
      <w:tr w:rsidR="00092739" w:rsidTr="0009273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5" w:type="dxa"/>
          </w:tcPr>
          <w:p w:rsidR="00092739" w:rsidRPr="006455E5" w:rsidRDefault="00092739" w:rsidP="00092739">
            <w:pPr>
              <w:pStyle w:val="ListParagraph"/>
              <w:jc w:val="center"/>
              <w:rPr>
                <w:b w:val="0"/>
                <w:sz w:val="20"/>
                <w:szCs w:val="24"/>
              </w:rPr>
            </w:pPr>
            <w:r w:rsidRPr="006455E5">
              <w:rPr>
                <w:b w:val="0"/>
                <w:sz w:val="20"/>
                <w:szCs w:val="24"/>
              </w:rPr>
              <w:t>Hasil</w:t>
            </w:r>
          </w:p>
          <w:p w:rsidR="00092739" w:rsidRPr="006455E5" w:rsidRDefault="00092739" w:rsidP="00092739">
            <w:pPr>
              <w:pStyle w:val="ListParagraph"/>
              <w:jc w:val="center"/>
              <w:rPr>
                <w:b w:val="0"/>
                <w:sz w:val="20"/>
                <w:szCs w:val="24"/>
              </w:rPr>
            </w:pPr>
            <w:r w:rsidRPr="006455E5">
              <w:rPr>
                <w:b w:val="0"/>
                <w:sz w:val="20"/>
                <w:szCs w:val="24"/>
              </w:rPr>
              <w:t>Perhitungan</w:t>
            </w:r>
          </w:p>
        </w:tc>
        <w:tc>
          <w:tcPr>
            <w:tcW w:w="665"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85,7</w:t>
            </w:r>
            <w:r w:rsidRPr="006455E5">
              <w:rPr>
                <w:b/>
                <w:sz w:val="20"/>
                <w:szCs w:val="24"/>
              </w:rPr>
              <w:t>%</w:t>
            </w:r>
          </w:p>
        </w:tc>
        <w:tc>
          <w:tcPr>
            <w:tcW w:w="639"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86,4</w:t>
            </w:r>
            <w:r w:rsidRPr="006455E5">
              <w:rPr>
                <w:b/>
                <w:sz w:val="20"/>
                <w:szCs w:val="24"/>
              </w:rPr>
              <w:t>%</w:t>
            </w:r>
          </w:p>
        </w:tc>
        <w:tc>
          <w:tcPr>
            <w:tcW w:w="663"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90,6</w:t>
            </w:r>
            <w:r w:rsidRPr="006455E5">
              <w:rPr>
                <w:b/>
                <w:sz w:val="20"/>
                <w:szCs w:val="24"/>
              </w:rPr>
              <w:t>%</w:t>
            </w:r>
          </w:p>
        </w:tc>
        <w:tc>
          <w:tcPr>
            <w:tcW w:w="660"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121,6</w:t>
            </w:r>
            <w:r w:rsidRPr="006455E5">
              <w:rPr>
                <w:b/>
                <w:sz w:val="20"/>
                <w:szCs w:val="24"/>
              </w:rPr>
              <w:t>%</w:t>
            </w:r>
          </w:p>
        </w:tc>
        <w:tc>
          <w:tcPr>
            <w:tcW w:w="653" w:type="dxa"/>
          </w:tcPr>
          <w:p w:rsidR="00092739" w:rsidRPr="006455E5" w:rsidRDefault="00092739" w:rsidP="00092739">
            <w:pPr>
              <w:pStyle w:val="ListParagraph"/>
              <w:jc w:val="center"/>
              <w:cnfStyle w:val="000000100000" w:firstRow="0" w:lastRow="0" w:firstColumn="0" w:lastColumn="0" w:oddVBand="0" w:evenVBand="0" w:oddHBand="1" w:evenHBand="0" w:firstRowFirstColumn="0" w:firstRowLastColumn="0" w:lastRowFirstColumn="0" w:lastRowLastColumn="0"/>
              <w:rPr>
                <w:b/>
                <w:sz w:val="20"/>
                <w:szCs w:val="24"/>
              </w:rPr>
            </w:pPr>
            <w:r>
              <w:rPr>
                <w:b/>
                <w:sz w:val="20"/>
                <w:szCs w:val="24"/>
                <w:lang w:val="id-ID"/>
              </w:rPr>
              <w:t>85,6</w:t>
            </w:r>
            <w:r w:rsidRPr="006455E5">
              <w:rPr>
                <w:b/>
                <w:sz w:val="20"/>
                <w:szCs w:val="24"/>
              </w:rPr>
              <w:t>%</w:t>
            </w:r>
          </w:p>
        </w:tc>
      </w:tr>
    </w:tbl>
    <w:p w:rsidR="00092739" w:rsidRPr="00092739" w:rsidRDefault="00092739" w:rsidP="00092739">
      <w:pPr>
        <w:spacing w:line="276" w:lineRule="auto"/>
        <w:jc w:val="both"/>
        <w:rPr>
          <w:sz w:val="22"/>
          <w:szCs w:val="24"/>
          <w:lang w:val="id-ID"/>
        </w:rPr>
      </w:pPr>
    </w:p>
    <w:p w:rsidR="0048544A" w:rsidRPr="00092739" w:rsidRDefault="00092739" w:rsidP="00092739">
      <w:pPr>
        <w:spacing w:line="276" w:lineRule="auto"/>
        <w:ind w:firstLine="720"/>
        <w:jc w:val="both"/>
        <w:rPr>
          <w:sz w:val="22"/>
          <w:szCs w:val="24"/>
          <w:lang w:val="id-ID"/>
        </w:rPr>
      </w:pPr>
      <w:r w:rsidRPr="00092739">
        <w:rPr>
          <w:sz w:val="22"/>
          <w:szCs w:val="24"/>
          <w:lang w:val="id-ID"/>
        </w:rPr>
        <w:t>H</w:t>
      </w:r>
      <w:r w:rsidRPr="00092739">
        <w:rPr>
          <w:sz w:val="22"/>
          <w:szCs w:val="24"/>
        </w:rPr>
        <w:t xml:space="preserve">asil perhitungan yang dilakukan dapat diketahui bahwa </w:t>
      </w:r>
      <w:r w:rsidRPr="00092739">
        <w:rPr>
          <w:i/>
          <w:sz w:val="22"/>
          <w:szCs w:val="24"/>
        </w:rPr>
        <w:t>Return On Equity</w:t>
      </w:r>
      <w:r w:rsidRPr="00092739">
        <w:rPr>
          <w:sz w:val="22"/>
          <w:szCs w:val="24"/>
        </w:rPr>
        <w:t xml:space="preserve"> pada tahun 2016 sebesar 85,7% pada tahun 2017 </w:t>
      </w:r>
      <w:r w:rsidRPr="00092739">
        <w:rPr>
          <w:i/>
          <w:sz w:val="22"/>
          <w:szCs w:val="24"/>
        </w:rPr>
        <w:t>Return On Equity</w:t>
      </w:r>
      <w:r w:rsidRPr="00092739">
        <w:rPr>
          <w:sz w:val="22"/>
          <w:szCs w:val="24"/>
        </w:rPr>
        <w:t xml:space="preserve"> naik menjadi 86,4% kemudian ditahun 2018 Return On Equity naik menjadi 90,6% pada tahun 2019 </w:t>
      </w:r>
      <w:r w:rsidRPr="00092739">
        <w:rPr>
          <w:i/>
          <w:sz w:val="22"/>
          <w:szCs w:val="24"/>
        </w:rPr>
        <w:t>Return On Equity</w:t>
      </w:r>
      <w:r w:rsidRPr="00092739">
        <w:rPr>
          <w:sz w:val="22"/>
          <w:szCs w:val="24"/>
        </w:rPr>
        <w:t xml:space="preserve"> menurun menjadi 121,6% dan ditahun 2020 </w:t>
      </w:r>
      <w:r w:rsidRPr="00092739">
        <w:rPr>
          <w:i/>
          <w:sz w:val="22"/>
          <w:szCs w:val="24"/>
        </w:rPr>
        <w:t>Return On Equity</w:t>
      </w:r>
      <w:r w:rsidRPr="00092739">
        <w:rPr>
          <w:sz w:val="22"/>
          <w:szCs w:val="24"/>
        </w:rPr>
        <w:t xml:space="preserve"> kembali naik menjadi 85,6%. Jadi, dapat disimpulkan bahwa tingkat </w:t>
      </w:r>
      <w:r w:rsidRPr="00092739">
        <w:rPr>
          <w:i/>
          <w:sz w:val="22"/>
          <w:szCs w:val="24"/>
        </w:rPr>
        <w:t>Return On Equity</w:t>
      </w:r>
      <w:r w:rsidRPr="00092739">
        <w:rPr>
          <w:sz w:val="22"/>
          <w:szCs w:val="24"/>
        </w:rPr>
        <w:t xml:space="preserve"> di Bengkel LA (Linggau </w:t>
      </w:r>
      <w:r w:rsidRPr="00092739">
        <w:rPr>
          <w:i/>
          <w:sz w:val="22"/>
          <w:szCs w:val="24"/>
        </w:rPr>
        <w:t>Advertising</w:t>
      </w:r>
      <w:r w:rsidRPr="00092739">
        <w:rPr>
          <w:sz w:val="22"/>
          <w:szCs w:val="24"/>
        </w:rPr>
        <w:t xml:space="preserve">) kota lubuklinggau, dapat diindentifikasikan bahwa perhitungan </w:t>
      </w:r>
      <w:r w:rsidRPr="00092739">
        <w:rPr>
          <w:i/>
          <w:sz w:val="22"/>
          <w:szCs w:val="24"/>
        </w:rPr>
        <w:t>Return On Equity</w:t>
      </w:r>
      <w:r w:rsidRPr="00092739">
        <w:rPr>
          <w:sz w:val="22"/>
          <w:szCs w:val="24"/>
        </w:rPr>
        <w:t xml:space="preserve"> di Bengkel LA (Linggau </w:t>
      </w:r>
      <w:r w:rsidRPr="00092739">
        <w:rPr>
          <w:i/>
          <w:sz w:val="22"/>
          <w:szCs w:val="24"/>
        </w:rPr>
        <w:t>Advertising</w:t>
      </w:r>
      <w:r w:rsidRPr="00092739">
        <w:rPr>
          <w:sz w:val="22"/>
          <w:szCs w:val="24"/>
        </w:rPr>
        <w:t xml:space="preserve">) kota lubuklinggau pada tahun 2016 dapat dikatakan Return On Asset “sehat” pada tahun 2017dapat dikatakan </w:t>
      </w:r>
      <w:r w:rsidRPr="00092739">
        <w:rPr>
          <w:i/>
          <w:sz w:val="22"/>
          <w:szCs w:val="24"/>
        </w:rPr>
        <w:t>Return On Equity</w:t>
      </w:r>
      <w:r w:rsidRPr="00092739">
        <w:rPr>
          <w:sz w:val="22"/>
          <w:szCs w:val="24"/>
        </w:rPr>
        <w:t xml:space="preserve"> “sehat” pada tahun 2018 dapat dikatakan </w:t>
      </w:r>
      <w:r w:rsidRPr="00092739">
        <w:rPr>
          <w:i/>
          <w:sz w:val="22"/>
          <w:szCs w:val="24"/>
        </w:rPr>
        <w:t>Return On Equity</w:t>
      </w:r>
      <w:r w:rsidRPr="00092739">
        <w:rPr>
          <w:sz w:val="22"/>
          <w:szCs w:val="24"/>
        </w:rPr>
        <w:t xml:space="preserve"> “sehat” ditahun 2019 dapat dikatakan </w:t>
      </w:r>
      <w:r w:rsidRPr="00092739">
        <w:rPr>
          <w:i/>
          <w:sz w:val="22"/>
          <w:szCs w:val="24"/>
        </w:rPr>
        <w:t>Return On Equity</w:t>
      </w:r>
      <w:r w:rsidRPr="00092739">
        <w:rPr>
          <w:sz w:val="22"/>
          <w:szCs w:val="24"/>
        </w:rPr>
        <w:t xml:space="preserve"> “sehat” dan pada tahun 2020 dapat dikatakan </w:t>
      </w:r>
      <w:r w:rsidRPr="00092739">
        <w:rPr>
          <w:i/>
          <w:sz w:val="22"/>
          <w:szCs w:val="24"/>
        </w:rPr>
        <w:t xml:space="preserve">Return On Equity </w:t>
      </w:r>
      <w:r w:rsidRPr="00092739">
        <w:rPr>
          <w:sz w:val="22"/>
          <w:szCs w:val="24"/>
        </w:rPr>
        <w:t>“sehat.</w:t>
      </w:r>
    </w:p>
    <w:p w:rsidR="0048544A" w:rsidRDefault="0048544A" w:rsidP="0048544A">
      <w:pPr>
        <w:rPr>
          <w:lang w:val="id-ID"/>
        </w:rPr>
      </w:pPr>
    </w:p>
    <w:p w:rsidR="0048544A" w:rsidRPr="0048544A" w:rsidRDefault="0048544A" w:rsidP="0048544A">
      <w:pPr>
        <w:rPr>
          <w:lang w:val="id-ID"/>
        </w:rPr>
      </w:pPr>
    </w:p>
    <w:p w:rsidR="007D1230" w:rsidRPr="000B02DF" w:rsidRDefault="007D1230" w:rsidP="000C1D89">
      <w:pPr>
        <w:pStyle w:val="Heading1"/>
        <w:numPr>
          <w:ilvl w:val="0"/>
          <w:numId w:val="2"/>
        </w:numPr>
        <w:spacing w:line="276" w:lineRule="auto"/>
        <w:ind w:left="567" w:hanging="567"/>
      </w:pPr>
      <w:r w:rsidRPr="000B02DF">
        <w:t>KESIMPULAN</w:t>
      </w:r>
    </w:p>
    <w:p w:rsidR="00080BD7" w:rsidRPr="00080BD7" w:rsidRDefault="00FF3992" w:rsidP="00080BD7">
      <w:pPr>
        <w:tabs>
          <w:tab w:val="left" w:pos="0"/>
          <w:tab w:val="left" w:pos="851"/>
          <w:tab w:val="left" w:pos="1276"/>
          <w:tab w:val="left" w:pos="1843"/>
          <w:tab w:val="left" w:pos="2410"/>
          <w:tab w:val="left" w:pos="3119"/>
          <w:tab w:val="left" w:pos="3402"/>
        </w:tabs>
        <w:spacing w:line="276" w:lineRule="auto"/>
        <w:ind w:firstLine="284"/>
        <w:jc w:val="both"/>
        <w:rPr>
          <w:szCs w:val="24"/>
          <w:lang w:val="id-ID"/>
        </w:rPr>
      </w:pPr>
      <w:r w:rsidRPr="00FF3992">
        <w:rPr>
          <w:sz w:val="22"/>
          <w:szCs w:val="24"/>
        </w:rPr>
        <w:t xml:space="preserve">     </w:t>
      </w:r>
    </w:p>
    <w:p w:rsidR="00080BD7" w:rsidRPr="00080BD7" w:rsidRDefault="00080BD7" w:rsidP="00080BD7">
      <w:pPr>
        <w:pStyle w:val="ListParagraph"/>
        <w:numPr>
          <w:ilvl w:val="0"/>
          <w:numId w:val="25"/>
        </w:numPr>
        <w:spacing w:after="200"/>
        <w:ind w:left="426" w:hanging="426"/>
        <w:rPr>
          <w:b/>
          <w:szCs w:val="24"/>
        </w:rPr>
      </w:pPr>
      <w:r w:rsidRPr="00080BD7">
        <w:rPr>
          <w:szCs w:val="24"/>
        </w:rPr>
        <w:t xml:space="preserve">Tingkat solvabilitas di Bengkel LA (Linggau </w:t>
      </w:r>
      <w:r w:rsidRPr="00080BD7">
        <w:rPr>
          <w:i/>
          <w:szCs w:val="24"/>
        </w:rPr>
        <w:t>Advertising</w:t>
      </w:r>
      <w:r w:rsidRPr="00080BD7">
        <w:rPr>
          <w:szCs w:val="24"/>
        </w:rPr>
        <w:t xml:space="preserve">) kota lubuklinggau dilihat dari </w:t>
      </w:r>
      <w:r w:rsidRPr="00080BD7">
        <w:rPr>
          <w:i/>
          <w:szCs w:val="24"/>
        </w:rPr>
        <w:t>Debt To Asset Ratio</w:t>
      </w:r>
      <w:r w:rsidRPr="00080BD7">
        <w:rPr>
          <w:szCs w:val="24"/>
        </w:rPr>
        <w:t xml:space="preserve"> selama lima tahun (2016-2020), </w:t>
      </w:r>
      <w:r w:rsidRPr="00080BD7">
        <w:rPr>
          <w:i/>
          <w:szCs w:val="24"/>
        </w:rPr>
        <w:t>Debt To Asset Ratio</w:t>
      </w:r>
      <w:r w:rsidRPr="00080BD7">
        <w:rPr>
          <w:szCs w:val="24"/>
        </w:rPr>
        <w:t xml:space="preserve"> stabil dapat dilihat sebagai berikut : pada tahun 2016 sebesar 31,4% pada tahun 2017 sebesar 32,4% lalu pada tahun 2018 sebesar 32,2% kemudian pada tahun 2019 sebesar 32,4% dan pada tahun </w:t>
      </w:r>
      <w:r w:rsidRPr="00080BD7">
        <w:rPr>
          <w:szCs w:val="24"/>
        </w:rPr>
        <w:lastRenderedPageBreak/>
        <w:t>2020 sebesar 32,4%. Hal ini sesuai dengan standar rasio.</w:t>
      </w:r>
    </w:p>
    <w:p w:rsidR="00080BD7" w:rsidRDefault="00080BD7" w:rsidP="00080BD7">
      <w:pPr>
        <w:pStyle w:val="ListParagraph"/>
        <w:spacing w:after="200"/>
        <w:ind w:left="426"/>
        <w:rPr>
          <w:szCs w:val="24"/>
          <w:lang w:val="id-ID"/>
        </w:rPr>
      </w:pPr>
      <w:r w:rsidRPr="00080BD7">
        <w:rPr>
          <w:i/>
          <w:szCs w:val="24"/>
        </w:rPr>
        <w:t>Debt To Equity Ratio</w:t>
      </w:r>
      <w:r w:rsidRPr="00080BD7">
        <w:rPr>
          <w:szCs w:val="24"/>
        </w:rPr>
        <w:t xml:space="preserve"> selama lima tahun (2016-2020), stabil dapat dilihat sebagai berikut : pada tahun 2016 sebesar 45,8% pada tahun 2017 sebesar 48% lalu pada tahun 2018 sebesar 47,5% kemudian pada tahun 2019 sebesar 48,% dan pada tahun 2020 sebesar 48,%.</w:t>
      </w:r>
      <w:r w:rsidRPr="00080BD7">
        <w:rPr>
          <w:b/>
          <w:szCs w:val="24"/>
          <w:lang w:val="id-ID"/>
        </w:rPr>
        <w:t xml:space="preserve"> </w:t>
      </w:r>
      <w:r w:rsidRPr="00080BD7">
        <w:rPr>
          <w:i/>
          <w:szCs w:val="24"/>
        </w:rPr>
        <w:t>Long Term Debt to Equity Ratio</w:t>
      </w:r>
      <w:r w:rsidRPr="00080BD7">
        <w:rPr>
          <w:szCs w:val="24"/>
        </w:rPr>
        <w:t xml:space="preserve"> selama lima tahun (2016-2020),stabil dapat dilihat sebagai berikut : pada tahun 2016 sebesar 9,69% pada tahun 2017 sebesar 10,4% lalu pada tahun 2018 sebesar 10,1% kemudian pada tahun 2019 sebesar 9,7% dan pada tahun 2020 sebesar 9,8%</w:t>
      </w:r>
    </w:p>
    <w:p w:rsidR="00080BD7" w:rsidRPr="00080BD7" w:rsidRDefault="00080BD7" w:rsidP="00080BD7">
      <w:pPr>
        <w:pStyle w:val="ListParagraph"/>
        <w:numPr>
          <w:ilvl w:val="0"/>
          <w:numId w:val="25"/>
        </w:numPr>
        <w:spacing w:after="200"/>
        <w:ind w:left="426" w:hanging="426"/>
        <w:rPr>
          <w:b/>
          <w:szCs w:val="24"/>
        </w:rPr>
      </w:pPr>
      <w:r w:rsidRPr="00080BD7">
        <w:rPr>
          <w:szCs w:val="24"/>
        </w:rPr>
        <w:t xml:space="preserve">Tingkat rasio profitabilitas di Bengkel LA (Linggau </w:t>
      </w:r>
      <w:r w:rsidRPr="00080BD7">
        <w:rPr>
          <w:i/>
          <w:szCs w:val="24"/>
        </w:rPr>
        <w:t>Advertising</w:t>
      </w:r>
      <w:r w:rsidRPr="00080BD7">
        <w:rPr>
          <w:szCs w:val="24"/>
        </w:rPr>
        <w:t xml:space="preserve">) kota lubuklinggau dilihat dari </w:t>
      </w:r>
      <w:r w:rsidRPr="00080BD7">
        <w:rPr>
          <w:i/>
          <w:szCs w:val="24"/>
        </w:rPr>
        <w:t>Return On Asset</w:t>
      </w:r>
      <w:r w:rsidRPr="00080BD7">
        <w:rPr>
          <w:szCs w:val="24"/>
        </w:rPr>
        <w:t xml:space="preserve"> selama lima tahun (2016-2020) tidak stabil karena mengalami naik turun dapat dilihat sebagai berikut : pada tahun 2016 sebesar 58,8% pada tahun 2017 sebesar 58,3% lalu pada tahun 2018 sebesar 61,4% kemudian pada tahun 2019 sebesar 82,1% dan pada tahun 2020 sebesar 57,8%</w:t>
      </w:r>
      <w:r w:rsidRPr="00080BD7">
        <w:rPr>
          <w:b/>
          <w:szCs w:val="24"/>
          <w:lang w:val="id-ID"/>
        </w:rPr>
        <w:t xml:space="preserve">. </w:t>
      </w:r>
      <w:r w:rsidRPr="00080BD7">
        <w:rPr>
          <w:szCs w:val="24"/>
        </w:rPr>
        <w:t xml:space="preserve">Dan untuk </w:t>
      </w:r>
      <w:r w:rsidRPr="00080BD7">
        <w:rPr>
          <w:i/>
          <w:szCs w:val="24"/>
        </w:rPr>
        <w:t>Return On Equity</w:t>
      </w:r>
      <w:r w:rsidRPr="00080BD7">
        <w:rPr>
          <w:szCs w:val="24"/>
        </w:rPr>
        <w:t xml:space="preserve"> selama lima tahun (2016-2020) tidak stabil karena mengalami naik turun, dapat dilihat sebagai berikut: pada tahun 2016 sebesar 85,7% pada tahun 2017 sebesar 86,4% lalu pada tahun 2018 sebesar 90,6% kemudian pada tahun 2019 sebesar 121,6% dan pada tahun 2020 sebesar 8,65%.</w:t>
      </w:r>
    </w:p>
    <w:p w:rsidR="00080BD7" w:rsidRDefault="00521934" w:rsidP="00521934">
      <w:pPr>
        <w:pStyle w:val="Heading1"/>
        <w:spacing w:line="276" w:lineRule="auto"/>
        <w:rPr>
          <w:lang w:val="id-ID"/>
        </w:rPr>
      </w:pPr>
      <w:r>
        <w:rPr>
          <w:lang w:val="id-ID"/>
        </w:rPr>
        <w:t>SARAN</w:t>
      </w:r>
    </w:p>
    <w:p w:rsidR="00521934" w:rsidRDefault="00521934" w:rsidP="00521934">
      <w:pPr>
        <w:rPr>
          <w:lang w:val="id-ID"/>
        </w:rPr>
      </w:pPr>
    </w:p>
    <w:p w:rsidR="00521934" w:rsidRPr="00521934" w:rsidRDefault="00521934" w:rsidP="00521934">
      <w:pPr>
        <w:pStyle w:val="ListParagraph"/>
        <w:numPr>
          <w:ilvl w:val="0"/>
          <w:numId w:val="26"/>
        </w:numPr>
        <w:spacing w:after="200"/>
        <w:ind w:left="426" w:hanging="426"/>
        <w:rPr>
          <w:b/>
          <w:szCs w:val="24"/>
        </w:rPr>
      </w:pPr>
      <w:r w:rsidRPr="00521934">
        <w:rPr>
          <w:szCs w:val="24"/>
        </w:rPr>
        <w:t xml:space="preserve">Untuk rasio solvabilitas </w:t>
      </w:r>
      <w:r w:rsidRPr="00521934">
        <w:rPr>
          <w:i/>
          <w:szCs w:val="24"/>
        </w:rPr>
        <w:t>Debt To Asset Ratio</w:t>
      </w:r>
      <w:r w:rsidRPr="00521934">
        <w:rPr>
          <w:szCs w:val="24"/>
        </w:rPr>
        <w:t xml:space="preserve"> (DAR), </w:t>
      </w:r>
      <w:r w:rsidRPr="00521934">
        <w:rPr>
          <w:i/>
          <w:szCs w:val="24"/>
        </w:rPr>
        <w:t>Debt To Equity Ratio</w:t>
      </w:r>
      <w:r w:rsidRPr="00521934">
        <w:rPr>
          <w:szCs w:val="24"/>
        </w:rPr>
        <w:t xml:space="preserve"> (DER), </w:t>
      </w:r>
      <w:r w:rsidRPr="00521934">
        <w:rPr>
          <w:i/>
          <w:szCs w:val="24"/>
        </w:rPr>
        <w:t xml:space="preserve">Long Term Debt To Equity </w:t>
      </w:r>
      <w:r w:rsidRPr="00521934">
        <w:rPr>
          <w:i/>
          <w:szCs w:val="24"/>
        </w:rPr>
        <w:lastRenderedPageBreak/>
        <w:t>Ratio</w:t>
      </w:r>
      <w:r w:rsidRPr="00521934">
        <w:rPr>
          <w:szCs w:val="24"/>
        </w:rPr>
        <w:t xml:space="preserve"> (LADtER) pemimpin bengkel (LA) Linggau Advertising kota lubuklinggau, perlu menambah modal sendiri selain membatasi utang jangka panjangnya agar bisa lebih baik lagi kedepannya.</w:t>
      </w:r>
    </w:p>
    <w:p w:rsidR="00521934" w:rsidRPr="00521934" w:rsidRDefault="00521934" w:rsidP="00521934">
      <w:pPr>
        <w:pStyle w:val="ListParagraph"/>
        <w:numPr>
          <w:ilvl w:val="0"/>
          <w:numId w:val="26"/>
        </w:numPr>
        <w:spacing w:after="200"/>
        <w:ind w:left="426" w:hanging="426"/>
        <w:rPr>
          <w:b/>
          <w:szCs w:val="24"/>
        </w:rPr>
      </w:pPr>
      <w:r w:rsidRPr="00521934">
        <w:rPr>
          <w:szCs w:val="24"/>
        </w:rPr>
        <w:t xml:space="preserve">Untuk rasio profitabilitas </w:t>
      </w:r>
      <w:r w:rsidRPr="00521934">
        <w:rPr>
          <w:i/>
          <w:szCs w:val="24"/>
        </w:rPr>
        <w:t>return on asset</w:t>
      </w:r>
      <w:r w:rsidRPr="00521934">
        <w:rPr>
          <w:szCs w:val="24"/>
        </w:rPr>
        <w:t xml:space="preserve"> (ROA), </w:t>
      </w:r>
      <w:r w:rsidRPr="00521934">
        <w:rPr>
          <w:i/>
          <w:szCs w:val="24"/>
        </w:rPr>
        <w:t>return on equity</w:t>
      </w:r>
      <w:r w:rsidRPr="00521934">
        <w:rPr>
          <w:szCs w:val="24"/>
        </w:rPr>
        <w:t xml:space="preserve"> (ROE) pemimpin bengkel (LA) Linggau Advertising </w:t>
      </w:r>
      <w:proofErr w:type="gramStart"/>
      <w:r w:rsidRPr="00521934">
        <w:rPr>
          <w:szCs w:val="24"/>
        </w:rPr>
        <w:t>kota</w:t>
      </w:r>
      <w:proofErr w:type="gramEnd"/>
      <w:r w:rsidRPr="00521934">
        <w:rPr>
          <w:szCs w:val="24"/>
        </w:rPr>
        <w:t xml:space="preserve"> lubuklinggau, perlu memperluas usahanya agar dapat meningkatkan laba usaha yang didapat atau agar laba yang diperoleh semakin besar. </w:t>
      </w:r>
    </w:p>
    <w:p w:rsidR="00521934" w:rsidRPr="00521934" w:rsidRDefault="00521934" w:rsidP="00521934">
      <w:pPr>
        <w:pStyle w:val="ListParagraph"/>
        <w:numPr>
          <w:ilvl w:val="0"/>
          <w:numId w:val="26"/>
        </w:numPr>
        <w:spacing w:after="200"/>
        <w:ind w:left="426" w:hanging="426"/>
        <w:rPr>
          <w:b/>
          <w:szCs w:val="24"/>
        </w:rPr>
      </w:pPr>
      <w:r w:rsidRPr="00521934">
        <w:rPr>
          <w:szCs w:val="24"/>
        </w:rPr>
        <w:t>Disarankan bagi pengelola bengkel agar selalu menggunakan alat pelindung mata dan pelindung lainnya pada saat bekerja dan memasuki wilayah tempat bekerja sehingga mengurangi resiko terjadinya kecelakaan dalam bekerja.</w:t>
      </w:r>
    </w:p>
    <w:p w:rsidR="00521934" w:rsidRPr="00521934" w:rsidRDefault="00521934" w:rsidP="00521934">
      <w:pPr>
        <w:rPr>
          <w:lang w:val="id-ID"/>
        </w:rPr>
      </w:pPr>
    </w:p>
    <w:p w:rsidR="007D1230" w:rsidRDefault="007D1230" w:rsidP="000C1D89">
      <w:pPr>
        <w:pStyle w:val="Heading1"/>
        <w:numPr>
          <w:ilvl w:val="0"/>
          <w:numId w:val="2"/>
        </w:numPr>
        <w:spacing w:line="276" w:lineRule="auto"/>
        <w:ind w:left="567" w:hanging="567"/>
      </w:pPr>
      <w:r>
        <w:t>DAFTAR PUSTAKA</w:t>
      </w:r>
    </w:p>
    <w:p w:rsidR="00295519" w:rsidRDefault="00295519" w:rsidP="00E90326">
      <w:pPr>
        <w:widowControl w:val="0"/>
        <w:autoSpaceDE w:val="0"/>
        <w:autoSpaceDN w:val="0"/>
        <w:adjustRightInd w:val="0"/>
        <w:ind w:left="640" w:hanging="640"/>
        <w:rPr>
          <w:sz w:val="22"/>
          <w:szCs w:val="22"/>
          <w:lang w:val="id-ID"/>
        </w:rPr>
      </w:pPr>
    </w:p>
    <w:p w:rsidR="00080BD7" w:rsidRPr="00080BD7" w:rsidRDefault="00080BD7" w:rsidP="00080BD7">
      <w:pPr>
        <w:widowControl w:val="0"/>
        <w:autoSpaceDE w:val="0"/>
        <w:autoSpaceDN w:val="0"/>
        <w:adjustRightInd w:val="0"/>
        <w:ind w:left="480" w:hanging="480"/>
        <w:jc w:val="both"/>
        <w:rPr>
          <w:noProof/>
          <w:sz w:val="22"/>
          <w:szCs w:val="24"/>
        </w:rPr>
      </w:pPr>
      <w:r>
        <w:rPr>
          <w:sz w:val="22"/>
          <w:szCs w:val="22"/>
          <w:lang w:val="id-ID"/>
        </w:rPr>
        <w:fldChar w:fldCharType="begin" w:fldLock="1"/>
      </w:r>
      <w:r>
        <w:rPr>
          <w:sz w:val="22"/>
          <w:szCs w:val="22"/>
          <w:lang w:val="id-ID"/>
        </w:rPr>
        <w:instrText xml:space="preserve">ADDIN Mendeley Bibliography CSL_BIBLIOGRAPHY </w:instrText>
      </w:r>
      <w:r>
        <w:rPr>
          <w:sz w:val="22"/>
          <w:szCs w:val="22"/>
          <w:lang w:val="id-ID"/>
        </w:rPr>
        <w:fldChar w:fldCharType="separate"/>
      </w:r>
      <w:r w:rsidRPr="00080BD7">
        <w:rPr>
          <w:noProof/>
          <w:sz w:val="22"/>
          <w:szCs w:val="24"/>
        </w:rPr>
        <w:t xml:space="preserve">Kasmir. (2015). </w:t>
      </w:r>
      <w:r w:rsidRPr="00080BD7">
        <w:rPr>
          <w:i/>
          <w:iCs/>
          <w:noProof/>
          <w:sz w:val="22"/>
          <w:szCs w:val="24"/>
        </w:rPr>
        <w:t>Analisis Laporan Keuangan</w:t>
      </w:r>
      <w:r w:rsidRPr="00080BD7">
        <w:rPr>
          <w:noProof/>
          <w:sz w:val="22"/>
          <w:szCs w:val="24"/>
        </w:rPr>
        <w:t>. PT Raja Grafindo Persada.</w:t>
      </w:r>
    </w:p>
    <w:p w:rsidR="00080BD7" w:rsidRPr="00080BD7" w:rsidRDefault="00080BD7" w:rsidP="00080BD7">
      <w:pPr>
        <w:widowControl w:val="0"/>
        <w:autoSpaceDE w:val="0"/>
        <w:autoSpaceDN w:val="0"/>
        <w:adjustRightInd w:val="0"/>
        <w:ind w:left="480" w:hanging="480"/>
        <w:jc w:val="both"/>
        <w:rPr>
          <w:noProof/>
          <w:sz w:val="22"/>
          <w:szCs w:val="24"/>
        </w:rPr>
      </w:pPr>
      <w:r w:rsidRPr="00080BD7">
        <w:rPr>
          <w:noProof/>
          <w:sz w:val="22"/>
          <w:szCs w:val="24"/>
        </w:rPr>
        <w:t xml:space="preserve">Lukitaningsih, A. (2013). IKLAN YANG EFEKTIF SEBAGAI STRATEGI KOMUNIKASI PEMASARAN Ambar Lukitaningsih Fakultas Ekonomi Universitas Sarjanawiyata Tamansiswa Yogyakarta. </w:t>
      </w:r>
      <w:r w:rsidRPr="00080BD7">
        <w:rPr>
          <w:i/>
          <w:iCs/>
          <w:noProof/>
          <w:sz w:val="22"/>
          <w:szCs w:val="24"/>
        </w:rPr>
        <w:t>Jurnal Ekonomi Dan Kewirausahaan</w:t>
      </w:r>
      <w:r w:rsidRPr="00080BD7">
        <w:rPr>
          <w:noProof/>
          <w:sz w:val="22"/>
          <w:szCs w:val="24"/>
        </w:rPr>
        <w:t xml:space="preserve">, </w:t>
      </w:r>
      <w:r w:rsidRPr="00080BD7">
        <w:rPr>
          <w:i/>
          <w:iCs/>
          <w:noProof/>
          <w:sz w:val="22"/>
          <w:szCs w:val="24"/>
        </w:rPr>
        <w:t>13</w:t>
      </w:r>
      <w:r w:rsidRPr="00080BD7">
        <w:rPr>
          <w:noProof/>
          <w:sz w:val="22"/>
          <w:szCs w:val="24"/>
        </w:rPr>
        <w:t>(2), 116–129.</w:t>
      </w:r>
    </w:p>
    <w:p w:rsidR="00080BD7" w:rsidRPr="00080BD7" w:rsidRDefault="00080BD7" w:rsidP="00080BD7">
      <w:pPr>
        <w:widowControl w:val="0"/>
        <w:autoSpaceDE w:val="0"/>
        <w:autoSpaceDN w:val="0"/>
        <w:adjustRightInd w:val="0"/>
        <w:ind w:left="480" w:hanging="480"/>
        <w:jc w:val="both"/>
        <w:rPr>
          <w:noProof/>
          <w:sz w:val="22"/>
        </w:rPr>
      </w:pPr>
      <w:r w:rsidRPr="00080BD7">
        <w:rPr>
          <w:noProof/>
          <w:sz w:val="22"/>
          <w:szCs w:val="24"/>
        </w:rPr>
        <w:t xml:space="preserve">Maith, H. A. (2013). Analisis Laporan Keuangan Dalam Mengukur Kinerja Keuangan Pada Pt. Hanjaya Mandala Sampoerna Tbk. </w:t>
      </w:r>
      <w:r w:rsidRPr="00080BD7">
        <w:rPr>
          <w:i/>
          <w:iCs/>
          <w:noProof/>
          <w:sz w:val="22"/>
          <w:szCs w:val="24"/>
        </w:rPr>
        <w:t>Jurnal Riset Ekonomi, Manajemen, Bisnis Dan Akuntansi</w:t>
      </w:r>
      <w:r w:rsidRPr="00080BD7">
        <w:rPr>
          <w:noProof/>
          <w:sz w:val="22"/>
          <w:szCs w:val="24"/>
        </w:rPr>
        <w:t xml:space="preserve">, </w:t>
      </w:r>
      <w:r w:rsidRPr="00080BD7">
        <w:rPr>
          <w:i/>
          <w:iCs/>
          <w:noProof/>
          <w:sz w:val="22"/>
          <w:szCs w:val="24"/>
        </w:rPr>
        <w:t>1</w:t>
      </w:r>
      <w:r w:rsidRPr="00080BD7">
        <w:rPr>
          <w:noProof/>
          <w:sz w:val="22"/>
          <w:szCs w:val="24"/>
        </w:rPr>
        <w:t>(3), 619–628. https://doi.org/10.35794/emba.v1i3.2130</w:t>
      </w:r>
    </w:p>
    <w:p w:rsidR="00080BD7" w:rsidRPr="00080BD7" w:rsidRDefault="00080BD7" w:rsidP="00080BD7">
      <w:pPr>
        <w:widowControl w:val="0"/>
        <w:autoSpaceDE w:val="0"/>
        <w:autoSpaceDN w:val="0"/>
        <w:adjustRightInd w:val="0"/>
        <w:ind w:left="640" w:hanging="640"/>
        <w:jc w:val="both"/>
        <w:rPr>
          <w:sz w:val="22"/>
          <w:szCs w:val="22"/>
          <w:lang w:val="id-ID"/>
        </w:rPr>
      </w:pPr>
      <w:r>
        <w:rPr>
          <w:sz w:val="22"/>
          <w:szCs w:val="22"/>
          <w:lang w:val="id-ID"/>
        </w:rPr>
        <w:fldChar w:fldCharType="end"/>
      </w:r>
    </w:p>
    <w:p w:rsidR="00AC3E13" w:rsidRDefault="00AC3E13" w:rsidP="00094852">
      <w:pPr>
        <w:jc w:val="both"/>
      </w:pPr>
    </w:p>
    <w:p w:rsidR="00E90326" w:rsidRDefault="00E90326" w:rsidP="00094852">
      <w:pPr>
        <w:jc w:val="both"/>
      </w:pPr>
    </w:p>
    <w:p w:rsidR="00E90326" w:rsidRDefault="00E90326" w:rsidP="007D1230"/>
    <w:p w:rsidR="00E90326" w:rsidRDefault="00E90326" w:rsidP="007D1230">
      <w:bookmarkStart w:id="0" w:name="_GoBack"/>
      <w:bookmarkEnd w:id="0"/>
    </w:p>
    <w:sectPr w:rsidR="00E90326" w:rsidSect="00080BD7">
      <w:footerReference w:type="default" r:id="rId26"/>
      <w:type w:val="continuous"/>
      <w:pgSz w:w="11906" w:h="16838" w:code="9"/>
      <w:pgMar w:top="1701" w:right="1701" w:bottom="1701" w:left="1701" w:header="850"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F1" w:rsidRDefault="009203F1" w:rsidP="007D1230">
      <w:r>
        <w:separator/>
      </w:r>
    </w:p>
  </w:endnote>
  <w:endnote w:type="continuationSeparator" w:id="0">
    <w:p w:rsidR="009203F1" w:rsidRDefault="009203F1"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5" w:rsidRDefault="009B1FE5" w:rsidP="00643FDB">
    <w:pPr>
      <w:jc w:val="right"/>
      <w:rPr>
        <w:rFonts w:cstheme="minorHAnsi"/>
        <w:color w:val="000000" w:themeColor="text1"/>
        <w:sz w:val="18"/>
        <w:szCs w:val="18"/>
      </w:rPr>
    </w:pPr>
    <w:r>
      <w:rPr>
        <w:rFonts w:cstheme="minorHAnsi"/>
        <w:b/>
        <w:bCs/>
        <w:color w:val="000000" w:themeColor="text1"/>
        <w:sz w:val="18"/>
        <w:szCs w:val="18"/>
        <w:lang w:val="id-ID"/>
      </w:rPr>
      <w:t>M Yoggi Erisaldi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521934">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9B1FE5" w:rsidRDefault="009B1FE5"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5" w:rsidRDefault="009B1FE5" w:rsidP="004A4A45">
    <w:pPr>
      <w:jc w:val="right"/>
      <w:rPr>
        <w:rFonts w:cstheme="minorHAnsi"/>
        <w:color w:val="000000" w:themeColor="text1"/>
        <w:sz w:val="18"/>
        <w:szCs w:val="18"/>
      </w:rPr>
    </w:pPr>
    <w:r>
      <w:rPr>
        <w:rFonts w:cstheme="minorHAnsi"/>
        <w:b/>
        <w:bCs/>
        <w:color w:val="000000" w:themeColor="text1"/>
        <w:sz w:val="18"/>
        <w:szCs w:val="18"/>
        <w:lang w:val="id-ID"/>
      </w:rPr>
      <w:t>M Yoggi Erisaldi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sidR="00F473F0">
          <w:rPr>
            <w:rFonts w:cstheme="minorHAnsi"/>
            <w:color w:val="000000" w:themeColor="text1"/>
            <w:sz w:val="18"/>
            <w:szCs w:val="18"/>
            <w:lang w:val="id-ID"/>
          </w:rPr>
          <w:t>2</w:t>
        </w:r>
        <w:r>
          <w:rPr>
            <w:rFonts w:cstheme="minorHAnsi"/>
            <w:color w:val="000000" w:themeColor="text1"/>
            <w:sz w:val="18"/>
            <w:szCs w:val="18"/>
          </w:rPr>
          <w:t xml:space="preserve"> </w:t>
        </w:r>
      </w:sdtContent>
    </w:sdt>
  </w:p>
  <w:p w:rsidR="009B1FE5" w:rsidRDefault="009B1FE5" w:rsidP="00F5670A">
    <w:pPr>
      <w:pStyle w:val="Footer"/>
      <w:ind w:left="-284"/>
    </w:pPr>
    <w:r>
      <w:t xml:space="preserve"> </w:t>
    </w:r>
  </w:p>
  <w:p w:rsidR="009B1FE5" w:rsidRDefault="009B1F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F0" w:rsidRDefault="00F473F0" w:rsidP="004A4A45">
    <w:pPr>
      <w:jc w:val="right"/>
      <w:rPr>
        <w:rFonts w:cstheme="minorHAnsi"/>
        <w:color w:val="000000" w:themeColor="text1"/>
        <w:sz w:val="18"/>
        <w:szCs w:val="18"/>
      </w:rPr>
    </w:pPr>
    <w:r>
      <w:rPr>
        <w:rFonts w:cstheme="minorHAnsi"/>
        <w:b/>
        <w:bCs/>
        <w:color w:val="000000" w:themeColor="text1"/>
        <w:sz w:val="18"/>
        <w:szCs w:val="18"/>
        <w:lang w:val="id-ID"/>
      </w:rPr>
      <w:t>M Yoggi Erisaldi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115295411"/>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lang w:val="id-ID"/>
          </w:rPr>
          <w:t>3</w:t>
        </w:r>
        <w:r>
          <w:rPr>
            <w:rFonts w:cstheme="minorHAnsi"/>
            <w:color w:val="000000" w:themeColor="text1"/>
            <w:sz w:val="18"/>
            <w:szCs w:val="18"/>
          </w:rPr>
          <w:t xml:space="preserve"> </w:t>
        </w:r>
      </w:sdtContent>
    </w:sdt>
  </w:p>
  <w:p w:rsidR="00F473F0" w:rsidRDefault="00F473F0" w:rsidP="00F5670A">
    <w:pPr>
      <w:pStyle w:val="Footer"/>
      <w:ind w:left="-284"/>
    </w:pPr>
    <w:r>
      <w:t xml:space="preserve"> </w:t>
    </w:r>
  </w:p>
  <w:p w:rsidR="00F473F0" w:rsidRDefault="00F473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89622"/>
      <w:docPartObj>
        <w:docPartGallery w:val="Page Numbers (Bottom of Page)"/>
        <w:docPartUnique/>
      </w:docPartObj>
    </w:sdtPr>
    <w:sdtEndPr>
      <w:rPr>
        <w:noProof/>
      </w:rPr>
    </w:sdtEndPr>
    <w:sdtContent>
      <w:p w:rsidR="009B1FE5" w:rsidRDefault="009B1F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1FE5" w:rsidRDefault="009B1FE5">
    <w:pPr>
      <w:pStyle w:val="Footer"/>
    </w:pPr>
  </w:p>
  <w:p w:rsidR="009B1FE5" w:rsidRDefault="009B1F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44547"/>
      <w:docPartObj>
        <w:docPartGallery w:val="Page Numbers (Bottom of Page)"/>
        <w:docPartUnique/>
      </w:docPartObj>
    </w:sdtPr>
    <w:sdtEndPr>
      <w:rPr>
        <w:noProof/>
      </w:rPr>
    </w:sdtEndPr>
    <w:sdtContent>
      <w:p w:rsidR="009B1FE5" w:rsidRDefault="009B1FE5">
        <w:pPr>
          <w:pStyle w:val="Footer"/>
          <w:jc w:val="center"/>
        </w:pPr>
      </w:p>
      <w:p w:rsidR="00080BD7" w:rsidRDefault="00080BD7" w:rsidP="00080BD7">
        <w:pPr>
          <w:jc w:val="right"/>
          <w:rPr>
            <w:rFonts w:cstheme="minorHAnsi"/>
            <w:color w:val="000000" w:themeColor="text1"/>
            <w:sz w:val="18"/>
            <w:szCs w:val="18"/>
          </w:rPr>
        </w:pPr>
        <w:r>
          <w:rPr>
            <w:rFonts w:cstheme="minorHAnsi"/>
            <w:b/>
            <w:bCs/>
            <w:color w:val="000000" w:themeColor="text1"/>
            <w:sz w:val="18"/>
            <w:szCs w:val="18"/>
            <w:lang w:val="id-ID"/>
          </w:rPr>
          <w:t>M Yoggi Erisaldi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98310538"/>
            <w:docPartObj>
              <w:docPartGallery w:val="Page Numbers (Bottom of Page)"/>
              <w:docPartUnique/>
            </w:docPartObj>
          </w:sdtPr>
          <w:sdtContent>
            <w:r>
              <w:rPr>
                <w:rFonts w:cstheme="minorHAnsi"/>
                <w:color w:val="000000" w:themeColor="text1"/>
                <w:sz w:val="18"/>
                <w:szCs w:val="18"/>
              </w:rPr>
              <w:t xml:space="preserve">Page </w:t>
            </w:r>
            <w:r w:rsidR="00521934">
              <w:rPr>
                <w:rFonts w:cstheme="minorHAnsi"/>
                <w:color w:val="000000" w:themeColor="text1"/>
                <w:sz w:val="18"/>
                <w:szCs w:val="18"/>
                <w:lang w:val="id-ID"/>
              </w:rPr>
              <w:t xml:space="preserve"> 4</w:t>
            </w:r>
          </w:sdtContent>
        </w:sdt>
      </w:p>
      <w:p w:rsidR="00080BD7" w:rsidRDefault="00080BD7" w:rsidP="00080BD7">
        <w:pPr>
          <w:pStyle w:val="Footer"/>
          <w:ind w:left="-284"/>
        </w:pPr>
        <w:r>
          <w:t xml:space="preserve"> </w:t>
        </w:r>
      </w:p>
      <w:p w:rsidR="00080BD7" w:rsidRDefault="00080BD7" w:rsidP="00080BD7"/>
      <w:p w:rsidR="009B1FE5" w:rsidRDefault="009B1FE5">
        <w:pPr>
          <w:pStyle w:val="Footer"/>
          <w:jc w:val="center"/>
        </w:pPr>
      </w:p>
    </w:sdtContent>
  </w:sdt>
  <w:p w:rsidR="009B1FE5" w:rsidRDefault="009B1F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5" w:rsidRDefault="009B1FE5">
    <w:pPr>
      <w:pStyle w:val="Footer"/>
      <w:jc w:val="center"/>
    </w:pPr>
  </w:p>
  <w:p w:rsidR="00080BD7" w:rsidRDefault="00080BD7" w:rsidP="00080BD7">
    <w:pPr>
      <w:jc w:val="right"/>
      <w:rPr>
        <w:rFonts w:cstheme="minorHAnsi"/>
        <w:color w:val="000000" w:themeColor="text1"/>
        <w:sz w:val="18"/>
        <w:szCs w:val="18"/>
      </w:rPr>
    </w:pPr>
    <w:r>
      <w:rPr>
        <w:rFonts w:cstheme="minorHAnsi"/>
        <w:b/>
        <w:bCs/>
        <w:color w:val="000000" w:themeColor="text1"/>
        <w:sz w:val="18"/>
        <w:szCs w:val="18"/>
        <w:lang w:val="id-ID"/>
      </w:rPr>
      <w:t>M Yoggi Erisaldi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62707083"/>
        <w:docPartObj>
          <w:docPartGallery w:val="Page Numbers (Bottom of Page)"/>
          <w:docPartUnique/>
        </w:docPartObj>
      </w:sdtPr>
      <w:sdtContent>
        <w:r>
          <w:rPr>
            <w:rFonts w:cstheme="minorHAnsi"/>
            <w:color w:val="000000" w:themeColor="text1"/>
            <w:sz w:val="18"/>
            <w:szCs w:val="18"/>
          </w:rPr>
          <w:t xml:space="preserve">Page </w:t>
        </w:r>
        <w:r w:rsidR="00FB0C3C">
          <w:rPr>
            <w:rFonts w:cstheme="minorHAnsi"/>
            <w:color w:val="000000" w:themeColor="text1"/>
            <w:sz w:val="18"/>
            <w:szCs w:val="18"/>
            <w:lang w:val="id-ID"/>
          </w:rPr>
          <w:t>6</w:t>
        </w:r>
      </w:sdtContent>
    </w:sdt>
  </w:p>
  <w:p w:rsidR="00080BD7" w:rsidRDefault="00080BD7" w:rsidP="00080BD7">
    <w:pPr>
      <w:pStyle w:val="Footer"/>
      <w:ind w:left="-284"/>
    </w:pPr>
    <w:r>
      <w:t xml:space="preserve"> </w:t>
    </w:r>
  </w:p>
  <w:p w:rsidR="00080BD7" w:rsidRDefault="00080BD7" w:rsidP="00080BD7"/>
  <w:p w:rsidR="009B1FE5" w:rsidRDefault="009B1FE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3C" w:rsidRDefault="00FB0C3C">
    <w:pPr>
      <w:pStyle w:val="Footer"/>
      <w:jc w:val="center"/>
    </w:pPr>
  </w:p>
  <w:p w:rsidR="00FB0C3C" w:rsidRDefault="00FB0C3C" w:rsidP="00080BD7">
    <w:pPr>
      <w:jc w:val="right"/>
      <w:rPr>
        <w:rFonts w:cstheme="minorHAnsi"/>
        <w:color w:val="000000" w:themeColor="text1"/>
        <w:sz w:val="18"/>
        <w:szCs w:val="18"/>
      </w:rPr>
    </w:pPr>
    <w:r>
      <w:rPr>
        <w:rFonts w:cstheme="minorHAnsi"/>
        <w:b/>
        <w:bCs/>
        <w:color w:val="000000" w:themeColor="text1"/>
        <w:sz w:val="18"/>
        <w:szCs w:val="18"/>
        <w:lang w:val="id-ID"/>
      </w:rPr>
      <w:t>M Yoggi Erisaldi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55938723"/>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lang w:val="id-ID"/>
          </w:rPr>
          <w:t>5</w:t>
        </w:r>
      </w:sdtContent>
    </w:sdt>
  </w:p>
  <w:p w:rsidR="00FB0C3C" w:rsidRDefault="00FB0C3C" w:rsidP="00080BD7">
    <w:pPr>
      <w:pStyle w:val="Footer"/>
      <w:ind w:left="-284"/>
    </w:pPr>
    <w:r>
      <w:t xml:space="preserve"> </w:t>
    </w:r>
  </w:p>
  <w:p w:rsidR="00FB0C3C" w:rsidRDefault="00FB0C3C" w:rsidP="00080BD7"/>
  <w:p w:rsidR="00FB0C3C" w:rsidRDefault="00FB0C3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34" w:rsidRDefault="00521934">
    <w:pPr>
      <w:pStyle w:val="Footer"/>
      <w:jc w:val="center"/>
    </w:pPr>
  </w:p>
  <w:p w:rsidR="00521934" w:rsidRDefault="00521934" w:rsidP="00080BD7">
    <w:pPr>
      <w:jc w:val="right"/>
      <w:rPr>
        <w:rFonts w:cstheme="minorHAnsi"/>
        <w:color w:val="000000" w:themeColor="text1"/>
        <w:sz w:val="18"/>
        <w:szCs w:val="18"/>
      </w:rPr>
    </w:pPr>
    <w:r>
      <w:rPr>
        <w:rFonts w:cstheme="minorHAnsi"/>
        <w:b/>
        <w:bCs/>
        <w:color w:val="000000" w:themeColor="text1"/>
        <w:sz w:val="18"/>
        <w:szCs w:val="18"/>
        <w:lang w:val="id-ID"/>
      </w:rPr>
      <w:t>M Yoggi Erisaldi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571089052"/>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lang w:val="id-ID"/>
          </w:rPr>
          <w:t>6</w:t>
        </w:r>
      </w:sdtContent>
    </w:sdt>
  </w:p>
  <w:p w:rsidR="00521934" w:rsidRDefault="00521934" w:rsidP="00080BD7">
    <w:pPr>
      <w:pStyle w:val="Footer"/>
      <w:ind w:left="-284"/>
    </w:pPr>
    <w:r>
      <w:t xml:space="preserve"> </w:t>
    </w:r>
  </w:p>
  <w:p w:rsidR="00521934" w:rsidRDefault="00521934" w:rsidP="00080BD7"/>
  <w:p w:rsidR="00521934" w:rsidRDefault="0052193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F0" w:rsidRDefault="00F473F0">
    <w:pPr>
      <w:pStyle w:val="Footer"/>
      <w:jc w:val="center"/>
    </w:pPr>
  </w:p>
  <w:p w:rsidR="00F473F0" w:rsidRDefault="00F473F0" w:rsidP="00080BD7">
    <w:pPr>
      <w:jc w:val="right"/>
      <w:rPr>
        <w:rFonts w:cstheme="minorHAnsi"/>
        <w:color w:val="000000" w:themeColor="text1"/>
        <w:sz w:val="18"/>
        <w:szCs w:val="18"/>
      </w:rPr>
    </w:pPr>
    <w:r>
      <w:rPr>
        <w:rFonts w:cstheme="minorHAnsi"/>
        <w:b/>
        <w:bCs/>
        <w:color w:val="000000" w:themeColor="text1"/>
        <w:sz w:val="18"/>
        <w:szCs w:val="18"/>
        <w:lang w:val="id-ID"/>
      </w:rPr>
      <w:t>M Yoggi Erisaldi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531417211"/>
        <w:docPartObj>
          <w:docPartGallery w:val="Page Numbers (Bottom of Page)"/>
          <w:docPartUnique/>
        </w:docPartObj>
      </w:sdtPr>
      <w:sdtContent>
        <w:r>
          <w:rPr>
            <w:rFonts w:cstheme="minorHAnsi"/>
            <w:color w:val="000000" w:themeColor="text1"/>
            <w:sz w:val="18"/>
            <w:szCs w:val="18"/>
          </w:rPr>
          <w:t xml:space="preserve">Page </w:t>
        </w:r>
        <w:r w:rsidR="00521934">
          <w:rPr>
            <w:rFonts w:cstheme="minorHAnsi"/>
            <w:color w:val="000000" w:themeColor="text1"/>
            <w:sz w:val="18"/>
            <w:szCs w:val="18"/>
            <w:lang w:val="id-ID"/>
          </w:rPr>
          <w:t>7</w:t>
        </w:r>
        <w:r>
          <w:rPr>
            <w:rFonts w:cstheme="minorHAnsi"/>
            <w:color w:val="000000" w:themeColor="text1"/>
            <w:sz w:val="18"/>
            <w:szCs w:val="18"/>
          </w:rPr>
          <w:t xml:space="preserve"> </w:t>
        </w:r>
      </w:sdtContent>
    </w:sdt>
  </w:p>
  <w:p w:rsidR="00F473F0" w:rsidRDefault="00F473F0" w:rsidP="00080BD7">
    <w:pPr>
      <w:pStyle w:val="Footer"/>
      <w:ind w:left="-284"/>
    </w:pPr>
    <w:r>
      <w:t xml:space="preserve"> </w:t>
    </w:r>
  </w:p>
  <w:p w:rsidR="00F473F0" w:rsidRDefault="00F473F0" w:rsidP="00080BD7"/>
  <w:p w:rsidR="00F473F0" w:rsidRDefault="00F47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F1" w:rsidRDefault="009203F1" w:rsidP="007D1230">
      <w:r>
        <w:separator/>
      </w:r>
    </w:p>
  </w:footnote>
  <w:footnote w:type="continuationSeparator" w:id="0">
    <w:p w:rsidR="009203F1" w:rsidRDefault="009203F1"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5" w:rsidRPr="00FF7662" w:rsidRDefault="009B1FE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14:anchorId="2E3EFAD1" wp14:editId="4128ED95">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5" w:rsidRPr="00C252F2" w:rsidRDefault="009B1FE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6AC53E3B" wp14:editId="2BF1510D">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p w:rsidR="009B1FE5" w:rsidRDefault="009B1F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5" w:rsidRDefault="009B1FE5">
    <w:pPr>
      <w:pStyle w:val="Header"/>
      <w:jc w:val="right"/>
    </w:pPr>
  </w:p>
  <w:p w:rsidR="009B1FE5" w:rsidRPr="00C31AFC" w:rsidRDefault="009B1FE5">
    <w:pPr>
      <w:pStyle w:val="Header"/>
      <w:rPr>
        <w:sz w:val="24"/>
      </w:rPr>
    </w:pPr>
  </w:p>
  <w:p w:rsidR="009B1FE5" w:rsidRDefault="009B1F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5" w:rsidRPr="002C7F55" w:rsidRDefault="009B1FE5">
    <w:pPr>
      <w:pStyle w:val="Header"/>
      <w:jc w:val="right"/>
      <w:rPr>
        <w:sz w:val="24"/>
      </w:rPr>
    </w:pPr>
  </w:p>
  <w:p w:rsidR="009B1FE5" w:rsidRPr="00C31AFC" w:rsidRDefault="009B1FE5">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724CB0"/>
    <w:multiLevelType w:val="hybridMultilevel"/>
    <w:tmpl w:val="DA300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787A10"/>
    <w:multiLevelType w:val="hybridMultilevel"/>
    <w:tmpl w:val="3BD85178"/>
    <w:lvl w:ilvl="0" w:tplc="3878B902">
      <w:start w:val="1"/>
      <w:numFmt w:val="lowerLetter"/>
      <w:lvlText w:val="%1."/>
      <w:lvlJc w:val="left"/>
      <w:pPr>
        <w:ind w:left="1860" w:hanging="360"/>
      </w:pPr>
      <w:rPr>
        <w:rFonts w:hint="default"/>
        <w:b w:val="0"/>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5025CE"/>
    <w:multiLevelType w:val="hybridMultilevel"/>
    <w:tmpl w:val="E0140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246954"/>
    <w:multiLevelType w:val="hybridMultilevel"/>
    <w:tmpl w:val="3AA42638"/>
    <w:lvl w:ilvl="0" w:tplc="3AD67E9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7">
    <w:nsid w:val="1F326642"/>
    <w:multiLevelType w:val="hybridMultilevel"/>
    <w:tmpl w:val="7456A30E"/>
    <w:lvl w:ilvl="0" w:tplc="C9068560">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6275493"/>
    <w:multiLevelType w:val="hybridMultilevel"/>
    <w:tmpl w:val="07CEAECE"/>
    <w:lvl w:ilvl="0" w:tplc="A4C2516E">
      <w:start w:val="1"/>
      <w:numFmt w:val="lowerLetter"/>
      <w:lvlText w:val="%1."/>
      <w:lvlJc w:val="left"/>
      <w:pPr>
        <w:ind w:left="2760" w:hanging="360"/>
      </w:pPr>
      <w:rPr>
        <w:b w:val="0"/>
      </w:rPr>
    </w:lvl>
    <w:lvl w:ilvl="1" w:tplc="04210019" w:tentative="1">
      <w:start w:val="1"/>
      <w:numFmt w:val="lowerLetter"/>
      <w:lvlText w:val="%2."/>
      <w:lvlJc w:val="left"/>
      <w:pPr>
        <w:ind w:left="3480" w:hanging="360"/>
      </w:pPr>
    </w:lvl>
    <w:lvl w:ilvl="2" w:tplc="0421001B" w:tentative="1">
      <w:start w:val="1"/>
      <w:numFmt w:val="lowerRoman"/>
      <w:lvlText w:val="%3."/>
      <w:lvlJc w:val="right"/>
      <w:pPr>
        <w:ind w:left="4200" w:hanging="180"/>
      </w:pPr>
    </w:lvl>
    <w:lvl w:ilvl="3" w:tplc="0421000F" w:tentative="1">
      <w:start w:val="1"/>
      <w:numFmt w:val="decimal"/>
      <w:lvlText w:val="%4."/>
      <w:lvlJc w:val="left"/>
      <w:pPr>
        <w:ind w:left="4920" w:hanging="360"/>
      </w:pPr>
    </w:lvl>
    <w:lvl w:ilvl="4" w:tplc="04210019" w:tentative="1">
      <w:start w:val="1"/>
      <w:numFmt w:val="lowerLetter"/>
      <w:lvlText w:val="%5."/>
      <w:lvlJc w:val="left"/>
      <w:pPr>
        <w:ind w:left="5640" w:hanging="360"/>
      </w:pPr>
    </w:lvl>
    <w:lvl w:ilvl="5" w:tplc="0421001B" w:tentative="1">
      <w:start w:val="1"/>
      <w:numFmt w:val="lowerRoman"/>
      <w:lvlText w:val="%6."/>
      <w:lvlJc w:val="right"/>
      <w:pPr>
        <w:ind w:left="6360" w:hanging="180"/>
      </w:pPr>
    </w:lvl>
    <w:lvl w:ilvl="6" w:tplc="0421000F" w:tentative="1">
      <w:start w:val="1"/>
      <w:numFmt w:val="decimal"/>
      <w:lvlText w:val="%7."/>
      <w:lvlJc w:val="left"/>
      <w:pPr>
        <w:ind w:left="7080" w:hanging="360"/>
      </w:pPr>
    </w:lvl>
    <w:lvl w:ilvl="7" w:tplc="04210019" w:tentative="1">
      <w:start w:val="1"/>
      <w:numFmt w:val="lowerLetter"/>
      <w:lvlText w:val="%8."/>
      <w:lvlJc w:val="left"/>
      <w:pPr>
        <w:ind w:left="7800" w:hanging="360"/>
      </w:pPr>
    </w:lvl>
    <w:lvl w:ilvl="8" w:tplc="0421001B" w:tentative="1">
      <w:start w:val="1"/>
      <w:numFmt w:val="lowerRoman"/>
      <w:lvlText w:val="%9."/>
      <w:lvlJc w:val="right"/>
      <w:pPr>
        <w:ind w:left="8520" w:hanging="180"/>
      </w:pPr>
    </w:lvl>
  </w:abstractNum>
  <w:abstractNum w:abstractNumId="11">
    <w:nsid w:val="2DEE3CA1"/>
    <w:multiLevelType w:val="hybridMultilevel"/>
    <w:tmpl w:val="2CF4F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350C8B"/>
    <w:multiLevelType w:val="hybridMultilevel"/>
    <w:tmpl w:val="E37A5244"/>
    <w:lvl w:ilvl="0" w:tplc="6314961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1A7402"/>
    <w:multiLevelType w:val="hybridMultilevel"/>
    <w:tmpl w:val="F0906E14"/>
    <w:lvl w:ilvl="0" w:tplc="80DE67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4">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FD0282E"/>
    <w:multiLevelType w:val="hybridMultilevel"/>
    <w:tmpl w:val="35845B26"/>
    <w:lvl w:ilvl="0" w:tplc="1576A8F2">
      <w:start w:val="2"/>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5"/>
  </w:num>
  <w:num w:numId="3">
    <w:abstractNumId w:val="8"/>
  </w:num>
  <w:num w:numId="4">
    <w:abstractNumId w:val="4"/>
  </w:num>
  <w:num w:numId="5">
    <w:abstractNumId w:val="21"/>
  </w:num>
  <w:num w:numId="6">
    <w:abstractNumId w:val="0"/>
  </w:num>
  <w:num w:numId="7">
    <w:abstractNumId w:val="3"/>
  </w:num>
  <w:num w:numId="8">
    <w:abstractNumId w:val="17"/>
  </w:num>
  <w:num w:numId="9">
    <w:abstractNumId w:val="13"/>
  </w:num>
  <w:num w:numId="10">
    <w:abstractNumId w:val="18"/>
  </w:num>
  <w:num w:numId="11">
    <w:abstractNumId w:val="16"/>
  </w:num>
  <w:num w:numId="12">
    <w:abstractNumId w:val="9"/>
  </w:num>
  <w:num w:numId="13">
    <w:abstractNumId w:val="23"/>
  </w:num>
  <w:num w:numId="14">
    <w:abstractNumId w:val="14"/>
  </w:num>
  <w:num w:numId="15">
    <w:abstractNumId w:val="22"/>
  </w:num>
  <w:num w:numId="16">
    <w:abstractNumId w:val="12"/>
  </w:num>
  <w:num w:numId="17">
    <w:abstractNumId w:val="5"/>
  </w:num>
  <w:num w:numId="18">
    <w:abstractNumId w:val="20"/>
  </w:num>
  <w:num w:numId="19">
    <w:abstractNumId w:val="25"/>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19"/>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61DDB"/>
    <w:rsid w:val="000713F1"/>
    <w:rsid w:val="00080BD7"/>
    <w:rsid w:val="00092739"/>
    <w:rsid w:val="00094852"/>
    <w:rsid w:val="000A34D2"/>
    <w:rsid w:val="000C1D89"/>
    <w:rsid w:val="000C2422"/>
    <w:rsid w:val="000C503A"/>
    <w:rsid w:val="00114A05"/>
    <w:rsid w:val="00121858"/>
    <w:rsid w:val="0017593E"/>
    <w:rsid w:val="001912F5"/>
    <w:rsid w:val="001E2175"/>
    <w:rsid w:val="00202A4F"/>
    <w:rsid w:val="002049F3"/>
    <w:rsid w:val="002269B6"/>
    <w:rsid w:val="00234527"/>
    <w:rsid w:val="002617A6"/>
    <w:rsid w:val="00295519"/>
    <w:rsid w:val="002B7E4E"/>
    <w:rsid w:val="002C3CB7"/>
    <w:rsid w:val="002D4F25"/>
    <w:rsid w:val="002D6036"/>
    <w:rsid w:val="002F2B2E"/>
    <w:rsid w:val="003205F4"/>
    <w:rsid w:val="00367A63"/>
    <w:rsid w:val="00384F3B"/>
    <w:rsid w:val="003874D1"/>
    <w:rsid w:val="003966E8"/>
    <w:rsid w:val="003B4153"/>
    <w:rsid w:val="003E4A3C"/>
    <w:rsid w:val="00445866"/>
    <w:rsid w:val="00474614"/>
    <w:rsid w:val="004800DA"/>
    <w:rsid w:val="0048544A"/>
    <w:rsid w:val="00493466"/>
    <w:rsid w:val="004A4A45"/>
    <w:rsid w:val="004C3C25"/>
    <w:rsid w:val="004D3356"/>
    <w:rsid w:val="004E124A"/>
    <w:rsid w:val="00521934"/>
    <w:rsid w:val="005361D3"/>
    <w:rsid w:val="00550E68"/>
    <w:rsid w:val="005B19D4"/>
    <w:rsid w:val="00613020"/>
    <w:rsid w:val="00617518"/>
    <w:rsid w:val="00643FDB"/>
    <w:rsid w:val="006455E5"/>
    <w:rsid w:val="006B0378"/>
    <w:rsid w:val="00760A24"/>
    <w:rsid w:val="00790D21"/>
    <w:rsid w:val="00791B13"/>
    <w:rsid w:val="007D1230"/>
    <w:rsid w:val="008702A4"/>
    <w:rsid w:val="008E6B6E"/>
    <w:rsid w:val="0090572C"/>
    <w:rsid w:val="00912DE8"/>
    <w:rsid w:val="009203F1"/>
    <w:rsid w:val="0097191A"/>
    <w:rsid w:val="009B1FE5"/>
    <w:rsid w:val="009B629B"/>
    <w:rsid w:val="009E6686"/>
    <w:rsid w:val="00A2124E"/>
    <w:rsid w:val="00AA2A4B"/>
    <w:rsid w:val="00AA3D68"/>
    <w:rsid w:val="00AC3E13"/>
    <w:rsid w:val="00C252F2"/>
    <w:rsid w:val="00C9401A"/>
    <w:rsid w:val="00D0361D"/>
    <w:rsid w:val="00D1293B"/>
    <w:rsid w:val="00D342AD"/>
    <w:rsid w:val="00D419EF"/>
    <w:rsid w:val="00D90AD6"/>
    <w:rsid w:val="00DB2237"/>
    <w:rsid w:val="00DD0E8F"/>
    <w:rsid w:val="00E100F2"/>
    <w:rsid w:val="00E4010A"/>
    <w:rsid w:val="00E76AAC"/>
    <w:rsid w:val="00E77C68"/>
    <w:rsid w:val="00E87FEE"/>
    <w:rsid w:val="00E90326"/>
    <w:rsid w:val="00EA7E17"/>
    <w:rsid w:val="00EC4C76"/>
    <w:rsid w:val="00ED7C05"/>
    <w:rsid w:val="00EE1BD8"/>
    <w:rsid w:val="00F317E7"/>
    <w:rsid w:val="00F3473E"/>
    <w:rsid w:val="00F473F0"/>
    <w:rsid w:val="00F532A0"/>
    <w:rsid w:val="00F5670A"/>
    <w:rsid w:val="00F87C9F"/>
    <w:rsid w:val="00FB0C3C"/>
    <w:rsid w:val="00FE1782"/>
    <w:rsid w:val="00FF399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skripsi,Body Text Char1,Char Char2,List Paragraph2,List Paragraph1,Body of text"/>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Spacing">
    <w:name w:val="No Spacing"/>
    <w:uiPriority w:val="1"/>
    <w:qFormat/>
    <w:rsid w:val="0090572C"/>
    <w:pPr>
      <w:spacing w:after="0" w:line="240" w:lineRule="auto"/>
    </w:pPr>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D1293B"/>
    <w:rPr>
      <w:rFonts w:ascii="Times New Roman" w:eastAsia="Times New Roman" w:hAnsi="Times New Roman" w:cs="Times New Roman"/>
      <w:lang w:val="en-GB" w:eastAsia="en-GB"/>
    </w:rPr>
  </w:style>
  <w:style w:type="table" w:styleId="LightShading">
    <w:name w:val="Light Shading"/>
    <w:basedOn w:val="TableNormal"/>
    <w:uiPriority w:val="60"/>
    <w:rsid w:val="00791B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skripsi,Body Text Char1,Char Char2,List Paragraph2,List Paragraph1,Body of text"/>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Spacing">
    <w:name w:val="No Spacing"/>
    <w:uiPriority w:val="1"/>
    <w:qFormat/>
    <w:rsid w:val="0090572C"/>
    <w:pPr>
      <w:spacing w:after="0" w:line="240" w:lineRule="auto"/>
    </w:pPr>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D1293B"/>
    <w:rPr>
      <w:rFonts w:ascii="Times New Roman" w:eastAsia="Times New Roman" w:hAnsi="Times New Roman" w:cs="Times New Roman"/>
      <w:lang w:val="en-GB" w:eastAsia="en-GB"/>
    </w:rPr>
  </w:style>
  <w:style w:type="table" w:styleId="LightShading">
    <w:name w:val="Light Shading"/>
    <w:basedOn w:val="TableNormal"/>
    <w:uiPriority w:val="60"/>
    <w:rsid w:val="00791B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Excel_Worksheet1.xlsx"/><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azhar@univbinainsan.ac.id"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2m.yusuf@polsri.ac.i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1erisaldiyogi@gmail.com"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E9C2-3E77-44CF-967B-9D386DD5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Absensi</dc:creator>
  <cp:keywords/>
  <dc:description/>
  <cp:lastModifiedBy>ismail - [2010]</cp:lastModifiedBy>
  <cp:revision>4</cp:revision>
  <dcterms:created xsi:type="dcterms:W3CDTF">2022-05-14T12:27:00Z</dcterms:created>
  <dcterms:modified xsi:type="dcterms:W3CDTF">2022-05-14T15:24:00Z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041324e5-f325-334d-a82d-beb33bd2cd2b</vt:lpwstr>
  </property>
  <property fmtid="{D5CDD505-2E9C-101B-9397-08002B2CF9AE}" pid="24" name="Mendeley Citation Style_1">
    <vt:lpwstr>http://www.zotero.org/styles/apa</vt:lpwstr>
  </property>
</Properties>
</file>